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F3B82" w14:textId="77777777" w:rsidR="006E1A65" w:rsidRDefault="006E1A65" w:rsidP="009B41A1">
      <w:pPr>
        <w:jc w:val="center"/>
        <w:rPr>
          <w:b/>
          <w:bCs/>
          <w:sz w:val="28"/>
          <w:szCs w:val="28"/>
        </w:rPr>
      </w:pPr>
      <w:r w:rsidRPr="00601FE5">
        <w:rPr>
          <w:b/>
          <w:bCs/>
          <w:sz w:val="28"/>
          <w:szCs w:val="28"/>
        </w:rPr>
        <w:t xml:space="preserve">Cost-Effectiveness Analysis of Isavuconazole Versus Voriconazole for the Treatment of Invasive Aspergillosis in </w:t>
      </w:r>
      <w:r w:rsidR="003B4E95">
        <w:rPr>
          <w:b/>
          <w:bCs/>
          <w:sz w:val="28"/>
          <w:szCs w:val="28"/>
        </w:rPr>
        <w:t>United Arab Emirates</w:t>
      </w:r>
    </w:p>
    <w:p w14:paraId="3C6468E0" w14:textId="77777777" w:rsidR="000E2E66" w:rsidRDefault="000E2E66" w:rsidP="000E2E66"/>
    <w:p w14:paraId="0D905690" w14:textId="04CCB5BB" w:rsidR="000E2E66" w:rsidRPr="007755C6" w:rsidRDefault="000E2E66" w:rsidP="000E2E66">
      <w:pPr>
        <w:rPr>
          <w:vertAlign w:val="superscript"/>
        </w:rPr>
      </w:pPr>
      <w:r w:rsidRPr="007755C6">
        <w:t>Jehad Abdalla</w:t>
      </w:r>
      <w:r w:rsidRPr="009C4CCA">
        <w:rPr>
          <w:vertAlign w:val="superscript"/>
        </w:rPr>
        <w:t>1</w:t>
      </w:r>
      <w:r w:rsidRPr="007755C6">
        <w:t>,</w:t>
      </w:r>
      <w:r w:rsidRPr="009C4CCA">
        <w:t xml:space="preserve"> Ahmad Aburmilah</w:t>
      </w:r>
      <w:r w:rsidRPr="009C4CCA">
        <w:rPr>
          <w:vertAlign w:val="superscript"/>
        </w:rPr>
        <w:t>2</w:t>
      </w:r>
      <w:r w:rsidRPr="009C4CCA">
        <w:t>, Rihab Al-Homsi</w:t>
      </w:r>
      <w:r w:rsidRPr="009C4CCA">
        <w:rPr>
          <w:vertAlign w:val="superscript"/>
        </w:rPr>
        <w:t>2</w:t>
      </w:r>
      <w:r w:rsidRPr="009C4CCA">
        <w:t xml:space="preserve">, </w:t>
      </w:r>
      <w:r w:rsidRPr="00912A99">
        <w:rPr>
          <w:u w:val="single"/>
        </w:rPr>
        <w:t>Walid Aboelenin</w:t>
      </w:r>
      <w:r w:rsidRPr="009C4CCA">
        <w:rPr>
          <w:vertAlign w:val="superscript"/>
        </w:rPr>
        <w:t>3</w:t>
      </w:r>
    </w:p>
    <w:p w14:paraId="75557EF8" w14:textId="77777777" w:rsidR="000E2E66" w:rsidRDefault="000E2E66" w:rsidP="000E2E66">
      <w:pPr>
        <w:rPr>
          <w:b/>
          <w:bCs/>
        </w:rPr>
      </w:pPr>
    </w:p>
    <w:p w14:paraId="6BF4D3D2" w14:textId="77777777" w:rsidR="000E2E66" w:rsidRPr="009C4CCA" w:rsidRDefault="000E2E66" w:rsidP="000E2E66">
      <w:pPr>
        <w:rPr>
          <w:b/>
          <w:bCs/>
        </w:rPr>
      </w:pPr>
      <w:r w:rsidRPr="009C4CCA">
        <w:rPr>
          <w:b/>
          <w:bCs/>
        </w:rPr>
        <w:t>Affiliations:</w:t>
      </w:r>
    </w:p>
    <w:p w14:paraId="2A6F1680" w14:textId="77777777" w:rsidR="000E2E66" w:rsidRDefault="000E2E66" w:rsidP="000E2E66">
      <w:r>
        <w:rPr>
          <w:vertAlign w:val="superscript"/>
        </w:rPr>
        <w:t xml:space="preserve">1 </w:t>
      </w:r>
      <w:r w:rsidRPr="002B461F">
        <w:t>Sheikh Khalifa Medical City</w:t>
      </w:r>
      <w:r>
        <w:t xml:space="preserve"> (</w:t>
      </w:r>
      <w:r w:rsidRPr="00B650CF">
        <w:t>SKMC Hospital</w:t>
      </w:r>
      <w:r>
        <w:t>)</w:t>
      </w:r>
      <w:r w:rsidRPr="00B650CF">
        <w:t>, Chair of ASP Committee in SEHA</w:t>
      </w:r>
      <w:r>
        <w:t>-</w:t>
      </w:r>
      <w:r w:rsidRPr="00B650CF">
        <w:t xml:space="preserve"> Abu Dhabi, UAE</w:t>
      </w:r>
    </w:p>
    <w:p w14:paraId="02BF060B" w14:textId="77777777" w:rsidR="000E2E66" w:rsidRPr="00B650CF" w:rsidRDefault="000E2E66" w:rsidP="000E2E66">
      <w:r>
        <w:rPr>
          <w:vertAlign w:val="superscript"/>
        </w:rPr>
        <w:t xml:space="preserve">2 </w:t>
      </w:r>
      <w:r>
        <w:t>Hikma Pharmaceuticals- Amman, Jordan</w:t>
      </w:r>
    </w:p>
    <w:p w14:paraId="755789CB" w14:textId="77777777" w:rsidR="000E2E66" w:rsidRPr="00B650CF" w:rsidRDefault="000E2E66" w:rsidP="000E2E66">
      <w:r>
        <w:rPr>
          <w:vertAlign w:val="superscript"/>
        </w:rPr>
        <w:t xml:space="preserve">3 </w:t>
      </w:r>
      <w:r>
        <w:t>Hikma Pharmaceuticals- Dubai, United Arab Emirates</w:t>
      </w:r>
    </w:p>
    <w:p w14:paraId="566F9FF9" w14:textId="77777777" w:rsidR="000E2E66" w:rsidRDefault="000E2E66" w:rsidP="006E1A65">
      <w:pPr>
        <w:rPr>
          <w:b/>
          <w:bCs/>
          <w:color w:val="C00000"/>
        </w:rPr>
      </w:pPr>
    </w:p>
    <w:p w14:paraId="592C24E5" w14:textId="77777777" w:rsidR="000E2E66" w:rsidRDefault="000E2E66" w:rsidP="006E1A65">
      <w:pPr>
        <w:rPr>
          <w:b/>
          <w:bCs/>
          <w:color w:val="C00000"/>
        </w:rPr>
      </w:pPr>
    </w:p>
    <w:p w14:paraId="49EAB0E2" w14:textId="13590547" w:rsidR="006E1A65" w:rsidRPr="001F7C63" w:rsidRDefault="006E1A65" w:rsidP="006E1A65">
      <w:pPr>
        <w:rPr>
          <w:b/>
          <w:bCs/>
        </w:rPr>
      </w:pPr>
      <w:r w:rsidRPr="00035AC7">
        <w:rPr>
          <w:b/>
          <w:bCs/>
          <w:color w:val="C00000"/>
        </w:rPr>
        <w:t>Objectives</w:t>
      </w:r>
      <w:r w:rsidRPr="001F7C63">
        <w:rPr>
          <w:b/>
          <w:bCs/>
        </w:rPr>
        <w:t>:</w:t>
      </w:r>
    </w:p>
    <w:p w14:paraId="4B90B2F4" w14:textId="77777777" w:rsidR="006E1A65" w:rsidRDefault="006E1A65" w:rsidP="006E1A65">
      <w:r w:rsidRPr="000F3342">
        <w:t xml:space="preserve">Invasive </w:t>
      </w:r>
      <w:r>
        <w:t>A</w:t>
      </w:r>
      <w:r w:rsidRPr="000F3342">
        <w:t>spergillosis</w:t>
      </w:r>
      <w:r>
        <w:t xml:space="preserve"> (IA)</w:t>
      </w:r>
      <w:r w:rsidRPr="000F3342">
        <w:t xml:space="preserve"> </w:t>
      </w:r>
      <w:r w:rsidRPr="00021D0D">
        <w:t>is a severe fungal infection with high morbidity and mortality, particularly among immunocompromised patients. The selection of an optimal antifungal treatment is essential to improve clinical outcomes and ensure efficient use of healthcare resources. Isavuconazole, a novel broad-spectrum azole, has been introduced i</w:t>
      </w:r>
      <w:r w:rsidR="0019652C">
        <w:t xml:space="preserve">n </w:t>
      </w:r>
      <w:r w:rsidR="0019652C" w:rsidRPr="0019652C">
        <w:t>United Arab Emirates</w:t>
      </w:r>
      <w:r w:rsidR="0019652C">
        <w:t xml:space="preserve"> (UAE)</w:t>
      </w:r>
      <w:r w:rsidRPr="00021D0D">
        <w:t xml:space="preserve">. This study aims to evaluate the cost-effectiveness of Isavuconazole compared to voriconazole for the treatment of IA from </w:t>
      </w:r>
      <w:r w:rsidR="0019652C">
        <w:t>UAE</w:t>
      </w:r>
      <w:r w:rsidRPr="00021D0D">
        <w:t xml:space="preserve"> healthcare payer perspective.</w:t>
      </w:r>
    </w:p>
    <w:p w14:paraId="092E2737" w14:textId="77777777" w:rsidR="006E1A65" w:rsidRPr="001F7C63" w:rsidRDefault="006E1A65" w:rsidP="006E1A65">
      <w:pPr>
        <w:rPr>
          <w:b/>
          <w:bCs/>
        </w:rPr>
      </w:pPr>
      <w:r w:rsidRPr="00035AC7">
        <w:rPr>
          <w:b/>
          <w:bCs/>
          <w:color w:val="C00000"/>
        </w:rPr>
        <w:t>Method</w:t>
      </w:r>
      <w:r w:rsidRPr="001F7C63">
        <w:rPr>
          <w:b/>
          <w:bCs/>
        </w:rPr>
        <w:t>:</w:t>
      </w:r>
    </w:p>
    <w:p w14:paraId="4AA32406" w14:textId="77777777" w:rsidR="006E1A65" w:rsidRDefault="006E1A65" w:rsidP="006E1A65">
      <w:r w:rsidRPr="00813D48">
        <w:t xml:space="preserve">A cost-utility analysis using a decision tree model was conducted. Patients with possible IA were included, with </w:t>
      </w:r>
      <w:r w:rsidR="009B41A1">
        <w:t>6</w:t>
      </w:r>
      <w:r w:rsidRPr="00813D48">
        <w:t xml:space="preserve">% </w:t>
      </w:r>
      <w:r>
        <w:t>estimated</w:t>
      </w:r>
      <w:r w:rsidRPr="00813D48">
        <w:t xml:space="preserve"> to </w:t>
      </w:r>
      <w:r>
        <w:t xml:space="preserve">actually </w:t>
      </w:r>
      <w:r w:rsidRPr="00813D48">
        <w:t xml:space="preserve">have mucormycosis. </w:t>
      </w:r>
      <w:r w:rsidRPr="009B65D0">
        <w:t>Only direct medical costs</w:t>
      </w:r>
      <w:r w:rsidRPr="00813D48">
        <w:t xml:space="preserve"> were considered, including </w:t>
      </w:r>
      <w:r>
        <w:t>cost of medications</w:t>
      </w:r>
      <w:r w:rsidRPr="00813D48">
        <w:t xml:space="preserve"> acquisition,</w:t>
      </w:r>
      <w:r>
        <w:t xml:space="preserve"> intravenous </w:t>
      </w:r>
      <w:r w:rsidRPr="00813D48">
        <w:t xml:space="preserve">administration, treatment switching, step-down therapy, nephrotoxicity management, and laboratory monitoring. </w:t>
      </w:r>
      <w:r>
        <w:t>D</w:t>
      </w:r>
      <w:r w:rsidRPr="00813D48">
        <w:t>ata</w:t>
      </w:r>
      <w:r>
        <w:t xml:space="preserve"> and clinical definitions</w:t>
      </w:r>
      <w:r w:rsidRPr="00813D48">
        <w:t xml:space="preserve"> were sourced from published</w:t>
      </w:r>
      <w:r>
        <w:t xml:space="preserve"> clinical trials and medical guidelines</w:t>
      </w:r>
      <w:r w:rsidR="0019652C">
        <w:t>. D</w:t>
      </w:r>
      <w:r>
        <w:t xml:space="preserve">eterministic </w:t>
      </w:r>
      <w:r w:rsidRPr="00973D42">
        <w:t>sensitivity analys</w:t>
      </w:r>
      <w:r w:rsidR="000F307A">
        <w:t>is</w:t>
      </w:r>
      <w:r>
        <w:t xml:space="preserve"> (</w:t>
      </w:r>
      <w:r w:rsidR="0019652C">
        <w:t>D</w:t>
      </w:r>
      <w:r>
        <w:t>SA)</w:t>
      </w:r>
      <w:r w:rsidRPr="00973D42">
        <w:t xml:space="preserve"> </w:t>
      </w:r>
      <w:r w:rsidRPr="001816B8">
        <w:t>w</w:t>
      </w:r>
      <w:r w:rsidR="0019652C">
        <w:t>as</w:t>
      </w:r>
      <w:r w:rsidRPr="001816B8">
        <w:t xml:space="preserve"> performed to test model robustness.</w:t>
      </w:r>
      <w:r>
        <w:t xml:space="preserve"> </w:t>
      </w:r>
      <w:r w:rsidRPr="00973D42">
        <w:t xml:space="preserve">Results were extrapolated over </w:t>
      </w:r>
      <w:r>
        <w:t>the</w:t>
      </w:r>
      <w:r w:rsidRPr="00973D42">
        <w:t xml:space="preserve"> lifetime horizon</w:t>
      </w:r>
      <w:r>
        <w:t xml:space="preserve"> of hematological malignancy patients</w:t>
      </w:r>
      <w:r w:rsidRPr="00973D42">
        <w:t>.</w:t>
      </w:r>
    </w:p>
    <w:p w14:paraId="6FA9D91C" w14:textId="77777777" w:rsidR="006E1A65" w:rsidRPr="0004494F" w:rsidRDefault="006E1A65" w:rsidP="006E1A65">
      <w:pPr>
        <w:rPr>
          <w:b/>
          <w:bCs/>
        </w:rPr>
      </w:pPr>
      <w:r w:rsidRPr="00035AC7">
        <w:rPr>
          <w:b/>
          <w:bCs/>
          <w:color w:val="C00000"/>
        </w:rPr>
        <w:t>Results</w:t>
      </w:r>
      <w:r w:rsidRPr="0004494F">
        <w:rPr>
          <w:b/>
          <w:bCs/>
        </w:rPr>
        <w:t>:</w:t>
      </w:r>
    </w:p>
    <w:p w14:paraId="61FB0CB1" w14:textId="77777777" w:rsidR="000845E2" w:rsidRDefault="006E1A65" w:rsidP="006E1A65">
      <w:r w:rsidRPr="00377490">
        <w:t xml:space="preserve">The total cost of </w:t>
      </w:r>
      <w:r>
        <w:t>I</w:t>
      </w:r>
      <w:r w:rsidRPr="00377490">
        <w:t xml:space="preserve">savuconazole was </w:t>
      </w:r>
      <w:r w:rsidR="000845E2">
        <w:t>AED</w:t>
      </w:r>
      <w:r w:rsidR="000845E2" w:rsidRPr="00377490">
        <w:t xml:space="preserve"> </w:t>
      </w:r>
      <w:r w:rsidR="000845E2">
        <w:t>6</w:t>
      </w:r>
      <w:r w:rsidR="000F307A">
        <w:t>0</w:t>
      </w:r>
      <w:r w:rsidRPr="00377490">
        <w:t>,</w:t>
      </w:r>
      <w:r w:rsidR="000F307A">
        <w:t>601</w:t>
      </w:r>
      <w:r>
        <w:t>.</w:t>
      </w:r>
      <w:r w:rsidR="000F307A">
        <w:t>09</w:t>
      </w:r>
      <w:r w:rsidRPr="00377490">
        <w:t xml:space="preserve"> for IA and </w:t>
      </w:r>
      <w:r w:rsidR="000845E2">
        <w:t xml:space="preserve">AED </w:t>
      </w:r>
      <w:r w:rsidR="000F307A">
        <w:t>5</w:t>
      </w:r>
      <w:r w:rsidRPr="00377490">
        <w:t>,</w:t>
      </w:r>
      <w:r w:rsidR="000845E2">
        <w:t>29</w:t>
      </w:r>
      <w:r w:rsidR="000F307A">
        <w:t>3</w:t>
      </w:r>
      <w:r w:rsidR="000845E2">
        <w:t>.</w:t>
      </w:r>
      <w:r w:rsidR="000F307A">
        <w:t>76</w:t>
      </w:r>
      <w:r w:rsidRPr="00377490">
        <w:t xml:space="preserve"> for mucormycosis. For </w:t>
      </w:r>
      <w:r>
        <w:t>v</w:t>
      </w:r>
      <w:r w:rsidRPr="00377490">
        <w:t xml:space="preserve">oriconazole, the costs were </w:t>
      </w:r>
      <w:r w:rsidR="000845E2">
        <w:t xml:space="preserve">AED </w:t>
      </w:r>
      <w:r w:rsidR="000F307A">
        <w:t>55</w:t>
      </w:r>
      <w:r w:rsidRPr="00377490">
        <w:t>,</w:t>
      </w:r>
      <w:r w:rsidR="000845E2">
        <w:t>0</w:t>
      </w:r>
      <w:r w:rsidR="000F307A">
        <w:t>15</w:t>
      </w:r>
      <w:r w:rsidRPr="00377490">
        <w:t>.</w:t>
      </w:r>
      <w:r w:rsidR="000F307A">
        <w:t>04</w:t>
      </w:r>
      <w:r w:rsidRPr="00377490">
        <w:t xml:space="preserve"> and </w:t>
      </w:r>
      <w:r w:rsidR="000845E2">
        <w:t xml:space="preserve">AED </w:t>
      </w:r>
      <w:r w:rsidR="000F307A">
        <w:t>9</w:t>
      </w:r>
      <w:r w:rsidRPr="00377490">
        <w:t>,</w:t>
      </w:r>
      <w:r w:rsidR="000F307A">
        <w:t>076</w:t>
      </w:r>
      <w:r w:rsidRPr="00377490">
        <w:t>.</w:t>
      </w:r>
      <w:r w:rsidR="000F307A">
        <w:t>57</w:t>
      </w:r>
      <w:r w:rsidR="000845E2">
        <w:t xml:space="preserve">, </w:t>
      </w:r>
      <w:r w:rsidRPr="00377490">
        <w:t xml:space="preserve">respectively. </w:t>
      </w:r>
      <w:r w:rsidR="000845E2">
        <w:t>We assumed that</w:t>
      </w:r>
      <w:r w:rsidRPr="00377490">
        <w:t xml:space="preserve"> 10% of </w:t>
      </w:r>
      <w:r w:rsidR="000845E2">
        <w:t xml:space="preserve">actual </w:t>
      </w:r>
      <w:r w:rsidRPr="00377490">
        <w:t xml:space="preserve">mucormycosis patients remain on Voriconazole. The QALYs gained were </w:t>
      </w:r>
      <w:r w:rsidR="000845E2">
        <w:t>7</w:t>
      </w:r>
      <w:r w:rsidRPr="00377490">
        <w:t>.1</w:t>
      </w:r>
      <w:r w:rsidR="000845E2">
        <w:t>5</w:t>
      </w:r>
      <w:r w:rsidRPr="00377490">
        <w:t xml:space="preserve"> </w:t>
      </w:r>
      <w:r w:rsidRPr="00377490">
        <w:lastRenderedPageBreak/>
        <w:t>for Isavuconazole and 6.2</w:t>
      </w:r>
      <w:r w:rsidR="000845E2">
        <w:t>1</w:t>
      </w:r>
      <w:r w:rsidRPr="00377490">
        <w:t xml:space="preserve"> for Voriconazole. The incremental cost-effectiveness ratio (ICER) of Isavuconazole was</w:t>
      </w:r>
      <w:r w:rsidR="000845E2">
        <w:t xml:space="preserve"> AED</w:t>
      </w:r>
      <w:r w:rsidRPr="00377490">
        <w:t xml:space="preserve"> </w:t>
      </w:r>
      <w:r w:rsidR="000F307A">
        <w:t>1</w:t>
      </w:r>
      <w:r w:rsidRPr="00377490">
        <w:t>,</w:t>
      </w:r>
      <w:r w:rsidR="000845E2">
        <w:t>9</w:t>
      </w:r>
      <w:r w:rsidR="000F307A">
        <w:t>29</w:t>
      </w:r>
      <w:r w:rsidRPr="00377490">
        <w:t>.</w:t>
      </w:r>
      <w:r w:rsidR="000F307A">
        <w:t>37</w:t>
      </w:r>
      <w:r w:rsidRPr="00377490">
        <w:t xml:space="preserve"> per QALY gained</w:t>
      </w:r>
      <w:r w:rsidR="00855726">
        <w:t xml:space="preserve"> (one AED equals 0.27 USD)</w:t>
      </w:r>
      <w:r w:rsidRPr="00377490">
        <w:t xml:space="preserve">. Model sensitivity was highest to </w:t>
      </w:r>
      <w:r w:rsidR="000845E2" w:rsidRPr="00377490">
        <w:t>survival rates</w:t>
      </w:r>
      <w:r w:rsidR="000845E2">
        <w:t xml:space="preserve"> in IA, switching probability of </w:t>
      </w:r>
      <w:r w:rsidR="000845E2" w:rsidRPr="00356C91">
        <w:t>voriconazole to liposomal amphotericin</w:t>
      </w:r>
      <w:r w:rsidR="000F307A">
        <w:t xml:space="preserve"> followed by oral posaconazole</w:t>
      </w:r>
      <w:r w:rsidR="000845E2" w:rsidRPr="00356C91">
        <w:t xml:space="preserve"> in case of </w:t>
      </w:r>
      <w:r w:rsidR="000F307A">
        <w:t xml:space="preserve">actual </w:t>
      </w:r>
      <w:r w:rsidR="000845E2">
        <w:t>Mucormycosis and drug pricing.</w:t>
      </w:r>
    </w:p>
    <w:p w14:paraId="7722D683" w14:textId="77777777" w:rsidR="006E1A65" w:rsidRPr="001F7C63" w:rsidRDefault="006E1A65" w:rsidP="006E1A65">
      <w:pPr>
        <w:rPr>
          <w:b/>
          <w:bCs/>
        </w:rPr>
      </w:pPr>
      <w:r w:rsidRPr="00035AC7">
        <w:rPr>
          <w:b/>
          <w:bCs/>
          <w:color w:val="C00000"/>
        </w:rPr>
        <w:t>Conclusion</w:t>
      </w:r>
      <w:r w:rsidRPr="001F7C63">
        <w:rPr>
          <w:b/>
          <w:bCs/>
        </w:rPr>
        <w:t>:</w:t>
      </w:r>
    </w:p>
    <w:p w14:paraId="0E8C553B" w14:textId="77777777" w:rsidR="00EE750C" w:rsidRDefault="006E1A65" w:rsidP="00855726">
      <w:r w:rsidRPr="00905FFA">
        <w:t xml:space="preserve">Isavuconazole is a cost-effective treatment for IA in </w:t>
      </w:r>
      <w:r w:rsidR="00855726">
        <w:t>United Arab Emirates</w:t>
      </w:r>
      <w:r w:rsidRPr="00905FFA">
        <w:t xml:space="preserve">. These findings support its use in clinical practice and </w:t>
      </w:r>
      <w:r w:rsidRPr="00BD2AB9">
        <w:t xml:space="preserve">may support clinicians in optimizing </w:t>
      </w:r>
      <w:r w:rsidR="00855726" w:rsidRPr="00855726">
        <w:t>antifungal treatment decisions.</w:t>
      </w:r>
    </w:p>
    <w:sectPr w:rsidR="00EE750C">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3031A" w14:textId="77777777" w:rsidR="00A9132A" w:rsidRDefault="00A9132A" w:rsidP="006E1A65">
      <w:pPr>
        <w:spacing w:after="0" w:line="240" w:lineRule="auto"/>
      </w:pPr>
      <w:r>
        <w:separator/>
      </w:r>
    </w:p>
  </w:endnote>
  <w:endnote w:type="continuationSeparator" w:id="0">
    <w:p w14:paraId="12AE1386" w14:textId="77777777" w:rsidR="00A9132A" w:rsidRDefault="00A9132A" w:rsidP="006E1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24313" w14:textId="33024717" w:rsidR="006E1A65" w:rsidRDefault="002D43C8">
    <w:pPr>
      <w:pStyle w:val="Footer"/>
    </w:pPr>
    <w:r>
      <w:rPr>
        <w:noProof/>
      </w:rPr>
      <mc:AlternateContent>
        <mc:Choice Requires="wps">
          <w:drawing>
            <wp:anchor distT="0" distB="0" distL="0" distR="0" simplePos="0" relativeHeight="251657728" behindDoc="0" locked="0" layoutInCell="1" allowOverlap="1" wp14:anchorId="6CE5FD62" wp14:editId="4528383D">
              <wp:simplePos x="0" y="0"/>
              <wp:positionH relativeFrom="page">
                <wp:align>left</wp:align>
              </wp:positionH>
              <wp:positionV relativeFrom="page">
                <wp:align>bottom</wp:align>
              </wp:positionV>
              <wp:extent cx="878205" cy="370205"/>
              <wp:effectExtent l="0" t="0" r="0" b="0"/>
              <wp:wrapNone/>
              <wp:docPr id="7657509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8205" cy="370205"/>
                      </a:xfrm>
                      <a:prstGeom prst="rect">
                        <a:avLst/>
                      </a:prstGeom>
                      <a:noFill/>
                      <a:ln>
                        <a:noFill/>
                      </a:ln>
                    </wps:spPr>
                    <wps:txbx>
                      <w:txbxContent>
                        <w:p w14:paraId="7FCF3B5A" w14:textId="77777777" w:rsidR="006E1A65" w:rsidRPr="006E1A65" w:rsidRDefault="006E1A65" w:rsidP="006E1A65">
                          <w:pPr>
                            <w:spacing w:after="0"/>
                            <w:rPr>
                              <w:rFonts w:cs="Calibri"/>
                              <w:noProof/>
                              <w:color w:val="000000"/>
                              <w:sz w:val="20"/>
                              <w:szCs w:val="20"/>
                            </w:rPr>
                          </w:pPr>
                          <w:r w:rsidRPr="006E1A65">
                            <w:rPr>
                              <w:rFonts w:cs="Calibri"/>
                              <w:noProof/>
                              <w:color w:val="000000"/>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CE5FD62" id="_x0000_t202" coordsize="21600,21600" o:spt="202" path="m,l,21600r21600,l21600,xe">
              <v:stroke joinstyle="miter"/>
              <v:path gradientshapeok="t" o:connecttype="rect"/>
            </v:shapetype>
            <v:shape id="Text Box 5" o:spid="_x0000_s1026" type="#_x0000_t202" style="position:absolute;margin-left:0;margin-top:0;width:69.15pt;height:29.15pt;z-index:251657728;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" filled="f" stroked="f">
              <v:textbox style="mso-fit-shape-to-text:t" inset="20pt,0,0,15pt">
                <w:txbxContent>
                  <w:p w14:paraId="7FCF3B5A" w14:textId="77777777" w:rsidR="006E1A65" w:rsidRPr="006E1A65" w:rsidRDefault="006E1A65" w:rsidP="006E1A65">
                    <w:pPr>
                      <w:spacing w:after="0"/>
                      <w:rPr>
                        <w:rFonts w:cs="Calibri"/>
                        <w:noProof/>
                        <w:color w:val="000000"/>
                        <w:sz w:val="20"/>
                        <w:szCs w:val="20"/>
                      </w:rPr>
                    </w:pPr>
                    <w:r w:rsidRPr="006E1A65">
                      <w:rPr>
                        <w:rFonts w:cs="Calibri"/>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3797" w14:textId="710B4631" w:rsidR="006E1A65" w:rsidRDefault="002D43C8">
    <w:pPr>
      <w:pStyle w:val="Footer"/>
    </w:pPr>
    <w:r>
      <w:rPr>
        <w:noProof/>
      </w:rPr>
      <mc:AlternateContent>
        <mc:Choice Requires="wps">
          <w:drawing>
            <wp:anchor distT="0" distB="0" distL="0" distR="0" simplePos="0" relativeHeight="251658752" behindDoc="0" locked="0" layoutInCell="1" allowOverlap="1" wp14:anchorId="4E368E9D" wp14:editId="46817FA9">
              <wp:simplePos x="0" y="0"/>
              <wp:positionH relativeFrom="page">
                <wp:align>left</wp:align>
              </wp:positionH>
              <wp:positionV relativeFrom="page">
                <wp:align>bottom</wp:align>
              </wp:positionV>
              <wp:extent cx="880110" cy="370205"/>
              <wp:effectExtent l="0" t="0" r="0" b="0"/>
              <wp:wrapNone/>
              <wp:docPr id="12706856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0110" cy="370205"/>
                      </a:xfrm>
                      <a:prstGeom prst="rect">
                        <a:avLst/>
                      </a:prstGeom>
                      <a:noFill/>
                      <a:ln>
                        <a:noFill/>
                      </a:ln>
                    </wps:spPr>
                    <wps:txbx>
                      <w:txbxContent>
                        <w:p w14:paraId="40FBD6F9" w14:textId="77777777" w:rsidR="006E1A65" w:rsidRPr="006E1A65" w:rsidRDefault="006E1A65" w:rsidP="006E1A65">
                          <w:pPr>
                            <w:spacing w:after="0"/>
                            <w:rPr>
                              <w:rFonts w:cs="Calibri"/>
                              <w:noProof/>
                              <w:color w:val="000000"/>
                              <w:sz w:val="20"/>
                              <w:szCs w:val="20"/>
                            </w:rPr>
                          </w:pPr>
                          <w:r w:rsidRPr="006E1A65">
                            <w:rPr>
                              <w:rFonts w:cs="Calibri"/>
                              <w:noProof/>
                              <w:color w:val="000000"/>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E368E9D" id="_x0000_t202" coordsize="21600,21600" o:spt="202" path="m,l,21600r21600,l21600,xe">
              <v:stroke joinstyle="miter"/>
              <v:path gradientshapeok="t" o:connecttype="rect"/>
            </v:shapetype>
            <v:shape id="Text Box 3" o:spid="_x0000_s1027" type="#_x0000_t202" style="position:absolute;margin-left:0;margin-top:0;width:69.3pt;height:29.15pt;z-index:251658752;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" filled="f" stroked="f">
              <v:textbox style="mso-fit-shape-to-text:t" inset="20pt,0,0,15pt">
                <w:txbxContent>
                  <w:p w14:paraId="40FBD6F9" w14:textId="77777777" w:rsidR="006E1A65" w:rsidRPr="006E1A65" w:rsidRDefault="006E1A65" w:rsidP="006E1A65">
                    <w:pPr>
                      <w:spacing w:after="0"/>
                      <w:rPr>
                        <w:rFonts w:cs="Calibri"/>
                        <w:noProof/>
                        <w:color w:val="000000"/>
                        <w:sz w:val="20"/>
                        <w:szCs w:val="20"/>
                      </w:rPr>
                    </w:pPr>
                    <w:r w:rsidRPr="006E1A65">
                      <w:rPr>
                        <w:rFonts w:cs="Calibri"/>
                        <w:noProof/>
                        <w:color w:val="000000"/>
                        <w:sz w:val="20"/>
                        <w:szCs w:val="20"/>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BFF2" w14:textId="10D8EEC1" w:rsidR="006E1A65" w:rsidRDefault="002D43C8">
    <w:pPr>
      <w:pStyle w:val="Footer"/>
    </w:pPr>
    <w:r>
      <w:rPr>
        <w:noProof/>
      </w:rPr>
      <mc:AlternateContent>
        <mc:Choice Requires="wps">
          <w:drawing>
            <wp:anchor distT="0" distB="0" distL="0" distR="0" simplePos="0" relativeHeight="251656704" behindDoc="0" locked="0" layoutInCell="1" allowOverlap="1" wp14:anchorId="1E09FA2C" wp14:editId="6172EC1D">
              <wp:simplePos x="0" y="0"/>
              <wp:positionH relativeFrom="page">
                <wp:align>left</wp:align>
              </wp:positionH>
              <wp:positionV relativeFrom="page">
                <wp:align>bottom</wp:align>
              </wp:positionV>
              <wp:extent cx="878205" cy="370205"/>
              <wp:effectExtent l="0" t="0" r="0" b="0"/>
              <wp:wrapNone/>
              <wp:docPr id="39302436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8205" cy="370205"/>
                      </a:xfrm>
                      <a:prstGeom prst="rect">
                        <a:avLst/>
                      </a:prstGeom>
                      <a:noFill/>
                      <a:ln>
                        <a:noFill/>
                      </a:ln>
                    </wps:spPr>
                    <wps:txbx>
                      <w:txbxContent>
                        <w:p w14:paraId="09FBEC28" w14:textId="77777777" w:rsidR="006E1A65" w:rsidRPr="006E1A65" w:rsidRDefault="006E1A65" w:rsidP="006E1A65">
                          <w:pPr>
                            <w:spacing w:after="0"/>
                            <w:rPr>
                              <w:rFonts w:cs="Calibri"/>
                              <w:noProof/>
                              <w:color w:val="000000"/>
                              <w:sz w:val="20"/>
                              <w:szCs w:val="20"/>
                            </w:rPr>
                          </w:pPr>
                          <w:r w:rsidRPr="006E1A65">
                            <w:rPr>
                              <w:rFonts w:cs="Calibri"/>
                              <w:noProof/>
                              <w:color w:val="000000"/>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E09FA2C" id="_x0000_t202" coordsize="21600,21600" o:spt="202" path="m,l,21600r21600,l21600,xe">
              <v:stroke joinstyle="miter"/>
              <v:path gradientshapeok="t" o:connecttype="rect"/>
            </v:shapetype>
            <v:shape id="Text Box 1" o:spid="_x0000_s1028" type="#_x0000_t202" style="position:absolute;margin-left:0;margin-top:0;width:69.15pt;height:29.15pt;z-index:251656704;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" filled="f" stroked="f">
              <v:textbox style="mso-fit-shape-to-text:t" inset="20pt,0,0,15pt">
                <w:txbxContent>
                  <w:p w14:paraId="09FBEC28" w14:textId="77777777" w:rsidR="006E1A65" w:rsidRPr="006E1A65" w:rsidRDefault="006E1A65" w:rsidP="006E1A65">
                    <w:pPr>
                      <w:spacing w:after="0"/>
                      <w:rPr>
                        <w:rFonts w:cs="Calibri"/>
                        <w:noProof/>
                        <w:color w:val="000000"/>
                        <w:sz w:val="20"/>
                        <w:szCs w:val="20"/>
                      </w:rPr>
                    </w:pPr>
                    <w:r w:rsidRPr="006E1A65">
                      <w:rPr>
                        <w:rFonts w:cs="Calibri"/>
                        <w:noProof/>
                        <w:color w:val="0000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70F6C" w14:textId="77777777" w:rsidR="00A9132A" w:rsidRDefault="00A9132A" w:rsidP="006E1A65">
      <w:pPr>
        <w:spacing w:after="0" w:line="240" w:lineRule="auto"/>
      </w:pPr>
      <w:r>
        <w:separator/>
      </w:r>
    </w:p>
  </w:footnote>
  <w:footnote w:type="continuationSeparator" w:id="0">
    <w:p w14:paraId="425B31CE" w14:textId="77777777" w:rsidR="00A9132A" w:rsidRDefault="00A9132A" w:rsidP="006E1A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D05FB"/>
    <w:multiLevelType w:val="hybridMultilevel"/>
    <w:tmpl w:val="449A5DF8"/>
    <w:lvl w:ilvl="0" w:tplc="7A2C566A">
      <w:start w:val="1"/>
      <w:numFmt w:val="bullet"/>
      <w:lvlText w:val=""/>
      <w:lvlJc w:val="left"/>
      <w:pPr>
        <w:ind w:left="720" w:hanging="360"/>
      </w:pPr>
      <w:rPr>
        <w:rFonts w:ascii="Symbol" w:hAnsi="Symbol"/>
      </w:rPr>
    </w:lvl>
    <w:lvl w:ilvl="1" w:tplc="A4388D06">
      <w:start w:val="1"/>
      <w:numFmt w:val="bullet"/>
      <w:lvlText w:val=""/>
      <w:lvlJc w:val="left"/>
      <w:pPr>
        <w:ind w:left="720" w:hanging="360"/>
      </w:pPr>
      <w:rPr>
        <w:rFonts w:ascii="Symbol" w:hAnsi="Symbol"/>
      </w:rPr>
    </w:lvl>
    <w:lvl w:ilvl="2" w:tplc="9466800A">
      <w:start w:val="1"/>
      <w:numFmt w:val="bullet"/>
      <w:lvlText w:val=""/>
      <w:lvlJc w:val="left"/>
      <w:pPr>
        <w:ind w:left="720" w:hanging="360"/>
      </w:pPr>
      <w:rPr>
        <w:rFonts w:ascii="Symbol" w:hAnsi="Symbol"/>
      </w:rPr>
    </w:lvl>
    <w:lvl w:ilvl="3" w:tplc="86701592">
      <w:start w:val="1"/>
      <w:numFmt w:val="bullet"/>
      <w:lvlText w:val=""/>
      <w:lvlJc w:val="left"/>
      <w:pPr>
        <w:ind w:left="720" w:hanging="360"/>
      </w:pPr>
      <w:rPr>
        <w:rFonts w:ascii="Symbol" w:hAnsi="Symbol"/>
      </w:rPr>
    </w:lvl>
    <w:lvl w:ilvl="4" w:tplc="E618D22E">
      <w:start w:val="1"/>
      <w:numFmt w:val="bullet"/>
      <w:lvlText w:val=""/>
      <w:lvlJc w:val="left"/>
      <w:pPr>
        <w:ind w:left="720" w:hanging="360"/>
      </w:pPr>
      <w:rPr>
        <w:rFonts w:ascii="Symbol" w:hAnsi="Symbol"/>
      </w:rPr>
    </w:lvl>
    <w:lvl w:ilvl="5" w:tplc="C806229E">
      <w:start w:val="1"/>
      <w:numFmt w:val="bullet"/>
      <w:lvlText w:val=""/>
      <w:lvlJc w:val="left"/>
      <w:pPr>
        <w:ind w:left="720" w:hanging="360"/>
      </w:pPr>
      <w:rPr>
        <w:rFonts w:ascii="Symbol" w:hAnsi="Symbol"/>
      </w:rPr>
    </w:lvl>
    <w:lvl w:ilvl="6" w:tplc="5686B18C">
      <w:start w:val="1"/>
      <w:numFmt w:val="bullet"/>
      <w:lvlText w:val=""/>
      <w:lvlJc w:val="left"/>
      <w:pPr>
        <w:ind w:left="720" w:hanging="360"/>
      </w:pPr>
      <w:rPr>
        <w:rFonts w:ascii="Symbol" w:hAnsi="Symbol"/>
      </w:rPr>
    </w:lvl>
    <w:lvl w:ilvl="7" w:tplc="E4320A42">
      <w:start w:val="1"/>
      <w:numFmt w:val="bullet"/>
      <w:lvlText w:val=""/>
      <w:lvlJc w:val="left"/>
      <w:pPr>
        <w:ind w:left="720" w:hanging="360"/>
      </w:pPr>
      <w:rPr>
        <w:rFonts w:ascii="Symbol" w:hAnsi="Symbol"/>
      </w:rPr>
    </w:lvl>
    <w:lvl w:ilvl="8" w:tplc="C0FABCD2">
      <w:start w:val="1"/>
      <w:numFmt w:val="bullet"/>
      <w:lvlText w:val=""/>
      <w:lvlJc w:val="left"/>
      <w:pPr>
        <w:ind w:left="720" w:hanging="360"/>
      </w:pPr>
      <w:rPr>
        <w:rFonts w:ascii="Symbol" w:hAnsi="Symbol"/>
      </w:rPr>
    </w:lvl>
  </w:abstractNum>
  <w:abstractNum w:abstractNumId="1" w15:restartNumberingAfterBreak="0">
    <w:nsid w:val="105138D7"/>
    <w:multiLevelType w:val="hybridMultilevel"/>
    <w:tmpl w:val="993AB0FA"/>
    <w:lvl w:ilvl="0" w:tplc="E1F65B1E">
      <w:start w:val="1"/>
      <w:numFmt w:val="bullet"/>
      <w:lvlText w:val=""/>
      <w:lvlJc w:val="left"/>
      <w:pPr>
        <w:ind w:left="720" w:hanging="360"/>
      </w:pPr>
      <w:rPr>
        <w:rFonts w:ascii="Symbol" w:hAnsi="Symbol"/>
      </w:rPr>
    </w:lvl>
    <w:lvl w:ilvl="1" w:tplc="23C236D2">
      <w:start w:val="1"/>
      <w:numFmt w:val="bullet"/>
      <w:lvlText w:val=""/>
      <w:lvlJc w:val="left"/>
      <w:pPr>
        <w:ind w:left="720" w:hanging="360"/>
      </w:pPr>
      <w:rPr>
        <w:rFonts w:ascii="Symbol" w:hAnsi="Symbol"/>
      </w:rPr>
    </w:lvl>
    <w:lvl w:ilvl="2" w:tplc="8D406776">
      <w:start w:val="1"/>
      <w:numFmt w:val="bullet"/>
      <w:lvlText w:val=""/>
      <w:lvlJc w:val="left"/>
      <w:pPr>
        <w:ind w:left="720" w:hanging="360"/>
      </w:pPr>
      <w:rPr>
        <w:rFonts w:ascii="Symbol" w:hAnsi="Symbol"/>
      </w:rPr>
    </w:lvl>
    <w:lvl w:ilvl="3" w:tplc="9A02D0EA">
      <w:start w:val="1"/>
      <w:numFmt w:val="bullet"/>
      <w:lvlText w:val=""/>
      <w:lvlJc w:val="left"/>
      <w:pPr>
        <w:ind w:left="720" w:hanging="360"/>
      </w:pPr>
      <w:rPr>
        <w:rFonts w:ascii="Symbol" w:hAnsi="Symbol"/>
      </w:rPr>
    </w:lvl>
    <w:lvl w:ilvl="4" w:tplc="5FF01816">
      <w:start w:val="1"/>
      <w:numFmt w:val="bullet"/>
      <w:lvlText w:val=""/>
      <w:lvlJc w:val="left"/>
      <w:pPr>
        <w:ind w:left="720" w:hanging="360"/>
      </w:pPr>
      <w:rPr>
        <w:rFonts w:ascii="Symbol" w:hAnsi="Symbol"/>
      </w:rPr>
    </w:lvl>
    <w:lvl w:ilvl="5" w:tplc="5C4C5D84">
      <w:start w:val="1"/>
      <w:numFmt w:val="bullet"/>
      <w:lvlText w:val=""/>
      <w:lvlJc w:val="left"/>
      <w:pPr>
        <w:ind w:left="720" w:hanging="360"/>
      </w:pPr>
      <w:rPr>
        <w:rFonts w:ascii="Symbol" w:hAnsi="Symbol"/>
      </w:rPr>
    </w:lvl>
    <w:lvl w:ilvl="6" w:tplc="256C087A">
      <w:start w:val="1"/>
      <w:numFmt w:val="bullet"/>
      <w:lvlText w:val=""/>
      <w:lvlJc w:val="left"/>
      <w:pPr>
        <w:ind w:left="720" w:hanging="360"/>
      </w:pPr>
      <w:rPr>
        <w:rFonts w:ascii="Symbol" w:hAnsi="Symbol"/>
      </w:rPr>
    </w:lvl>
    <w:lvl w:ilvl="7" w:tplc="AE5696DA">
      <w:start w:val="1"/>
      <w:numFmt w:val="bullet"/>
      <w:lvlText w:val=""/>
      <w:lvlJc w:val="left"/>
      <w:pPr>
        <w:ind w:left="720" w:hanging="360"/>
      </w:pPr>
      <w:rPr>
        <w:rFonts w:ascii="Symbol" w:hAnsi="Symbol"/>
      </w:rPr>
    </w:lvl>
    <w:lvl w:ilvl="8" w:tplc="96526E44">
      <w:start w:val="1"/>
      <w:numFmt w:val="bullet"/>
      <w:lvlText w:val=""/>
      <w:lvlJc w:val="left"/>
      <w:pPr>
        <w:ind w:left="720" w:hanging="360"/>
      </w:pPr>
      <w:rPr>
        <w:rFonts w:ascii="Symbol" w:hAnsi="Symbol"/>
      </w:rPr>
    </w:lvl>
  </w:abstractNum>
  <w:abstractNum w:abstractNumId="2" w15:restartNumberingAfterBreak="0">
    <w:nsid w:val="1BFC4D65"/>
    <w:multiLevelType w:val="hybridMultilevel"/>
    <w:tmpl w:val="B98839D8"/>
    <w:lvl w:ilvl="0" w:tplc="74E62E60">
      <w:start w:val="1"/>
      <w:numFmt w:val="bullet"/>
      <w:lvlText w:val=""/>
      <w:lvlJc w:val="left"/>
      <w:pPr>
        <w:ind w:left="720" w:hanging="360"/>
      </w:pPr>
      <w:rPr>
        <w:rFonts w:ascii="Symbol" w:hAnsi="Symbol"/>
      </w:rPr>
    </w:lvl>
    <w:lvl w:ilvl="1" w:tplc="A7BC63FC">
      <w:start w:val="1"/>
      <w:numFmt w:val="bullet"/>
      <w:lvlText w:val=""/>
      <w:lvlJc w:val="left"/>
      <w:pPr>
        <w:ind w:left="720" w:hanging="360"/>
      </w:pPr>
      <w:rPr>
        <w:rFonts w:ascii="Symbol" w:hAnsi="Symbol"/>
      </w:rPr>
    </w:lvl>
    <w:lvl w:ilvl="2" w:tplc="5AB06672">
      <w:start w:val="1"/>
      <w:numFmt w:val="bullet"/>
      <w:lvlText w:val=""/>
      <w:lvlJc w:val="left"/>
      <w:pPr>
        <w:ind w:left="720" w:hanging="360"/>
      </w:pPr>
      <w:rPr>
        <w:rFonts w:ascii="Symbol" w:hAnsi="Symbol"/>
      </w:rPr>
    </w:lvl>
    <w:lvl w:ilvl="3" w:tplc="7F70865C">
      <w:start w:val="1"/>
      <w:numFmt w:val="bullet"/>
      <w:lvlText w:val=""/>
      <w:lvlJc w:val="left"/>
      <w:pPr>
        <w:ind w:left="720" w:hanging="360"/>
      </w:pPr>
      <w:rPr>
        <w:rFonts w:ascii="Symbol" w:hAnsi="Symbol"/>
      </w:rPr>
    </w:lvl>
    <w:lvl w:ilvl="4" w:tplc="DD049990">
      <w:start w:val="1"/>
      <w:numFmt w:val="bullet"/>
      <w:lvlText w:val=""/>
      <w:lvlJc w:val="left"/>
      <w:pPr>
        <w:ind w:left="720" w:hanging="360"/>
      </w:pPr>
      <w:rPr>
        <w:rFonts w:ascii="Symbol" w:hAnsi="Symbol"/>
      </w:rPr>
    </w:lvl>
    <w:lvl w:ilvl="5" w:tplc="C9AC73B0">
      <w:start w:val="1"/>
      <w:numFmt w:val="bullet"/>
      <w:lvlText w:val=""/>
      <w:lvlJc w:val="left"/>
      <w:pPr>
        <w:ind w:left="720" w:hanging="360"/>
      </w:pPr>
      <w:rPr>
        <w:rFonts w:ascii="Symbol" w:hAnsi="Symbol"/>
      </w:rPr>
    </w:lvl>
    <w:lvl w:ilvl="6" w:tplc="BF84C974">
      <w:start w:val="1"/>
      <w:numFmt w:val="bullet"/>
      <w:lvlText w:val=""/>
      <w:lvlJc w:val="left"/>
      <w:pPr>
        <w:ind w:left="720" w:hanging="360"/>
      </w:pPr>
      <w:rPr>
        <w:rFonts w:ascii="Symbol" w:hAnsi="Symbol"/>
      </w:rPr>
    </w:lvl>
    <w:lvl w:ilvl="7" w:tplc="044C42F6">
      <w:start w:val="1"/>
      <w:numFmt w:val="bullet"/>
      <w:lvlText w:val=""/>
      <w:lvlJc w:val="left"/>
      <w:pPr>
        <w:ind w:left="720" w:hanging="360"/>
      </w:pPr>
      <w:rPr>
        <w:rFonts w:ascii="Symbol" w:hAnsi="Symbol"/>
      </w:rPr>
    </w:lvl>
    <w:lvl w:ilvl="8" w:tplc="4BAA11BC">
      <w:start w:val="1"/>
      <w:numFmt w:val="bullet"/>
      <w:lvlText w:val=""/>
      <w:lvlJc w:val="left"/>
      <w:pPr>
        <w:ind w:left="720" w:hanging="360"/>
      </w:pPr>
      <w:rPr>
        <w:rFonts w:ascii="Symbol" w:hAnsi="Symbol"/>
      </w:rPr>
    </w:lvl>
  </w:abstractNum>
  <w:abstractNum w:abstractNumId="3" w15:restartNumberingAfterBreak="0">
    <w:nsid w:val="245039CA"/>
    <w:multiLevelType w:val="hybridMultilevel"/>
    <w:tmpl w:val="56A0B4B6"/>
    <w:lvl w:ilvl="0" w:tplc="47F87F84">
      <w:start w:val="1"/>
      <w:numFmt w:val="bullet"/>
      <w:lvlText w:val=""/>
      <w:lvlJc w:val="left"/>
      <w:pPr>
        <w:ind w:left="1080" w:hanging="360"/>
      </w:pPr>
      <w:rPr>
        <w:rFonts w:ascii="Symbol" w:hAnsi="Symbol"/>
      </w:rPr>
    </w:lvl>
    <w:lvl w:ilvl="1" w:tplc="640A51BC">
      <w:start w:val="1"/>
      <w:numFmt w:val="bullet"/>
      <w:lvlText w:val=""/>
      <w:lvlJc w:val="left"/>
      <w:pPr>
        <w:ind w:left="1080" w:hanging="360"/>
      </w:pPr>
      <w:rPr>
        <w:rFonts w:ascii="Symbol" w:hAnsi="Symbol"/>
      </w:rPr>
    </w:lvl>
    <w:lvl w:ilvl="2" w:tplc="F0B61310">
      <w:start w:val="1"/>
      <w:numFmt w:val="bullet"/>
      <w:lvlText w:val=""/>
      <w:lvlJc w:val="left"/>
      <w:pPr>
        <w:ind w:left="1080" w:hanging="360"/>
      </w:pPr>
      <w:rPr>
        <w:rFonts w:ascii="Symbol" w:hAnsi="Symbol"/>
      </w:rPr>
    </w:lvl>
    <w:lvl w:ilvl="3" w:tplc="AB9851B0">
      <w:start w:val="1"/>
      <w:numFmt w:val="bullet"/>
      <w:lvlText w:val=""/>
      <w:lvlJc w:val="left"/>
      <w:pPr>
        <w:ind w:left="1080" w:hanging="360"/>
      </w:pPr>
      <w:rPr>
        <w:rFonts w:ascii="Symbol" w:hAnsi="Symbol"/>
      </w:rPr>
    </w:lvl>
    <w:lvl w:ilvl="4" w:tplc="3544C16C">
      <w:start w:val="1"/>
      <w:numFmt w:val="bullet"/>
      <w:lvlText w:val=""/>
      <w:lvlJc w:val="left"/>
      <w:pPr>
        <w:ind w:left="1080" w:hanging="360"/>
      </w:pPr>
      <w:rPr>
        <w:rFonts w:ascii="Symbol" w:hAnsi="Symbol"/>
      </w:rPr>
    </w:lvl>
    <w:lvl w:ilvl="5" w:tplc="C4825560">
      <w:start w:val="1"/>
      <w:numFmt w:val="bullet"/>
      <w:lvlText w:val=""/>
      <w:lvlJc w:val="left"/>
      <w:pPr>
        <w:ind w:left="1080" w:hanging="360"/>
      </w:pPr>
      <w:rPr>
        <w:rFonts w:ascii="Symbol" w:hAnsi="Symbol"/>
      </w:rPr>
    </w:lvl>
    <w:lvl w:ilvl="6" w:tplc="BFEEB1FA">
      <w:start w:val="1"/>
      <w:numFmt w:val="bullet"/>
      <w:lvlText w:val=""/>
      <w:lvlJc w:val="left"/>
      <w:pPr>
        <w:ind w:left="1080" w:hanging="360"/>
      </w:pPr>
      <w:rPr>
        <w:rFonts w:ascii="Symbol" w:hAnsi="Symbol"/>
      </w:rPr>
    </w:lvl>
    <w:lvl w:ilvl="7" w:tplc="5EF2FDDE">
      <w:start w:val="1"/>
      <w:numFmt w:val="bullet"/>
      <w:lvlText w:val=""/>
      <w:lvlJc w:val="left"/>
      <w:pPr>
        <w:ind w:left="1080" w:hanging="360"/>
      </w:pPr>
      <w:rPr>
        <w:rFonts w:ascii="Symbol" w:hAnsi="Symbol"/>
      </w:rPr>
    </w:lvl>
    <w:lvl w:ilvl="8" w:tplc="BC70B332">
      <w:start w:val="1"/>
      <w:numFmt w:val="bullet"/>
      <w:lvlText w:val=""/>
      <w:lvlJc w:val="left"/>
      <w:pPr>
        <w:ind w:left="1080" w:hanging="360"/>
      </w:pPr>
      <w:rPr>
        <w:rFonts w:ascii="Symbol" w:hAnsi="Symbol"/>
      </w:rPr>
    </w:lvl>
  </w:abstractNum>
  <w:abstractNum w:abstractNumId="4" w15:restartNumberingAfterBreak="0">
    <w:nsid w:val="27F93870"/>
    <w:multiLevelType w:val="hybridMultilevel"/>
    <w:tmpl w:val="C18EED3C"/>
    <w:lvl w:ilvl="0" w:tplc="A2B0A514">
      <w:start w:val="1"/>
      <w:numFmt w:val="bullet"/>
      <w:lvlText w:val=""/>
      <w:lvlJc w:val="left"/>
      <w:pPr>
        <w:ind w:left="720" w:hanging="360"/>
      </w:pPr>
      <w:rPr>
        <w:rFonts w:ascii="Symbol" w:hAnsi="Symbol"/>
      </w:rPr>
    </w:lvl>
    <w:lvl w:ilvl="1" w:tplc="877061C6">
      <w:start w:val="1"/>
      <w:numFmt w:val="bullet"/>
      <w:lvlText w:val=""/>
      <w:lvlJc w:val="left"/>
      <w:pPr>
        <w:ind w:left="720" w:hanging="360"/>
      </w:pPr>
      <w:rPr>
        <w:rFonts w:ascii="Symbol" w:hAnsi="Symbol"/>
      </w:rPr>
    </w:lvl>
    <w:lvl w:ilvl="2" w:tplc="8036F568">
      <w:start w:val="1"/>
      <w:numFmt w:val="bullet"/>
      <w:lvlText w:val=""/>
      <w:lvlJc w:val="left"/>
      <w:pPr>
        <w:ind w:left="720" w:hanging="360"/>
      </w:pPr>
      <w:rPr>
        <w:rFonts w:ascii="Symbol" w:hAnsi="Symbol"/>
      </w:rPr>
    </w:lvl>
    <w:lvl w:ilvl="3" w:tplc="61A6B03C">
      <w:start w:val="1"/>
      <w:numFmt w:val="bullet"/>
      <w:lvlText w:val=""/>
      <w:lvlJc w:val="left"/>
      <w:pPr>
        <w:ind w:left="720" w:hanging="360"/>
      </w:pPr>
      <w:rPr>
        <w:rFonts w:ascii="Symbol" w:hAnsi="Symbol"/>
      </w:rPr>
    </w:lvl>
    <w:lvl w:ilvl="4" w:tplc="5D3C26D6">
      <w:start w:val="1"/>
      <w:numFmt w:val="bullet"/>
      <w:lvlText w:val=""/>
      <w:lvlJc w:val="left"/>
      <w:pPr>
        <w:ind w:left="720" w:hanging="360"/>
      </w:pPr>
      <w:rPr>
        <w:rFonts w:ascii="Symbol" w:hAnsi="Symbol"/>
      </w:rPr>
    </w:lvl>
    <w:lvl w:ilvl="5" w:tplc="4CAE0AA0">
      <w:start w:val="1"/>
      <w:numFmt w:val="bullet"/>
      <w:lvlText w:val=""/>
      <w:lvlJc w:val="left"/>
      <w:pPr>
        <w:ind w:left="720" w:hanging="360"/>
      </w:pPr>
      <w:rPr>
        <w:rFonts w:ascii="Symbol" w:hAnsi="Symbol"/>
      </w:rPr>
    </w:lvl>
    <w:lvl w:ilvl="6" w:tplc="164CCF8C">
      <w:start w:val="1"/>
      <w:numFmt w:val="bullet"/>
      <w:lvlText w:val=""/>
      <w:lvlJc w:val="left"/>
      <w:pPr>
        <w:ind w:left="720" w:hanging="360"/>
      </w:pPr>
      <w:rPr>
        <w:rFonts w:ascii="Symbol" w:hAnsi="Symbol"/>
      </w:rPr>
    </w:lvl>
    <w:lvl w:ilvl="7" w:tplc="CE2C06AA">
      <w:start w:val="1"/>
      <w:numFmt w:val="bullet"/>
      <w:lvlText w:val=""/>
      <w:lvlJc w:val="left"/>
      <w:pPr>
        <w:ind w:left="720" w:hanging="360"/>
      </w:pPr>
      <w:rPr>
        <w:rFonts w:ascii="Symbol" w:hAnsi="Symbol"/>
      </w:rPr>
    </w:lvl>
    <w:lvl w:ilvl="8" w:tplc="20223C2C">
      <w:start w:val="1"/>
      <w:numFmt w:val="bullet"/>
      <w:lvlText w:val=""/>
      <w:lvlJc w:val="left"/>
      <w:pPr>
        <w:ind w:left="720" w:hanging="360"/>
      </w:pPr>
      <w:rPr>
        <w:rFonts w:ascii="Symbol" w:hAnsi="Symbol"/>
      </w:rPr>
    </w:lvl>
  </w:abstractNum>
  <w:num w:numId="1" w16cid:durableId="831722524">
    <w:abstractNumId w:val="2"/>
  </w:num>
  <w:num w:numId="2" w16cid:durableId="773406236">
    <w:abstractNumId w:val="1"/>
  </w:num>
  <w:num w:numId="3" w16cid:durableId="1870415430">
    <w:abstractNumId w:val="0"/>
  </w:num>
  <w:num w:numId="4" w16cid:durableId="1083261728">
    <w:abstractNumId w:val="4"/>
  </w:num>
  <w:num w:numId="5" w16cid:durableId="1691100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A65"/>
    <w:rsid w:val="000845E2"/>
    <w:rsid w:val="000E2E66"/>
    <w:rsid w:val="000F307A"/>
    <w:rsid w:val="0019652C"/>
    <w:rsid w:val="001B6914"/>
    <w:rsid w:val="002D43C8"/>
    <w:rsid w:val="003B4E95"/>
    <w:rsid w:val="006E1A65"/>
    <w:rsid w:val="00713E87"/>
    <w:rsid w:val="00783FC4"/>
    <w:rsid w:val="00855726"/>
    <w:rsid w:val="00897655"/>
    <w:rsid w:val="009B41A1"/>
    <w:rsid w:val="009D6990"/>
    <w:rsid w:val="00A9132A"/>
    <w:rsid w:val="00AA6EE8"/>
    <w:rsid w:val="00B058EC"/>
    <w:rsid w:val="00B534E4"/>
    <w:rsid w:val="00BD4A25"/>
    <w:rsid w:val="00EE750C"/>
    <w:rsid w:val="00F82707"/>
    <w:rsid w:val="00FA4A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0C0CC520"/>
  <w15:chartTrackingRefBased/>
  <w15:docId w15:val="{C39DCEB7-9667-4692-9424-82E0236C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A65"/>
    <w:pPr>
      <w:spacing w:after="160" w:line="278" w:lineRule="auto"/>
    </w:pPr>
    <w:rPr>
      <w:kern w:val="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6E1A65"/>
    <w:rPr>
      <w:sz w:val="16"/>
      <w:szCs w:val="16"/>
    </w:rPr>
  </w:style>
  <w:style w:type="paragraph" w:styleId="CommentText">
    <w:name w:val="annotation text"/>
    <w:basedOn w:val="Normal"/>
    <w:link w:val="CommentTextChar"/>
    <w:uiPriority w:val="99"/>
    <w:unhideWhenUsed/>
    <w:rsid w:val="006E1A65"/>
    <w:pPr>
      <w:spacing w:line="240" w:lineRule="auto"/>
    </w:pPr>
    <w:rPr>
      <w:sz w:val="20"/>
      <w:szCs w:val="20"/>
    </w:rPr>
  </w:style>
  <w:style w:type="character" w:customStyle="1" w:styleId="CommentTextChar">
    <w:name w:val="Comment Text Char"/>
    <w:link w:val="CommentText"/>
    <w:uiPriority w:val="99"/>
    <w:rsid w:val="006E1A65"/>
    <w:rPr>
      <w:sz w:val="20"/>
      <w:szCs w:val="20"/>
    </w:rPr>
  </w:style>
  <w:style w:type="paragraph" w:styleId="Footer">
    <w:name w:val="footer"/>
    <w:basedOn w:val="Normal"/>
    <w:link w:val="FooterChar"/>
    <w:uiPriority w:val="99"/>
    <w:unhideWhenUsed/>
    <w:rsid w:val="006E1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Rihab S. Al-Homsi</dc:creator>
  <cp:keywords/>
  <dc:description/>
  <cp:lastModifiedBy>Rihab S. Al-Homsi</cp:lastModifiedBy>
  <cp:revision>2</cp:revision>
  <dcterms:created xsi:type="dcterms:W3CDTF">2025-04-30T18:14:00Z</dcterms:created>
  <dcterms:modified xsi:type="dcterms:W3CDTF">2025-04-30T18:14:00Z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2ab1f7e3,5c054d9,7bf1b2d7</vt:lpwstr>
  </property>
  <property fmtid="{D5CDD505-2E9C-101B-9397-08002B2CF9AE}" pid="3" name="ClassificationContentMarkingFooterFontProps">
    <vt:lpwstr>#000000,10,Calibri</vt:lpwstr>
  </property>
  <property fmtid="{D5CDD505-2E9C-101B-9397-08002B2CF9AE}" pid="4" name="ClassificationContentMarkingFooterText">
    <vt:lpwstr>Confidential</vt:lpwstr>
  </property>
  <property fmtid="{D5CDD505-2E9C-101B-9397-08002B2CF9AE}" pid="5" name="MSIP_Label_48209d14-df88-4a4f-8f08-4fa5970e7a5c_Enabled">
    <vt:lpwstr>true</vt:lpwstr>
  </property>
  <property fmtid="{D5CDD505-2E9C-101B-9397-08002B2CF9AE}" pid="6" name="MSIP_Label_48209d14-df88-4a4f-8f08-4fa5970e7a5c_SetDate">
    <vt:lpwstr>2025-04-20T20:11:53Z</vt:lpwstr>
  </property>
  <property fmtid="{D5CDD505-2E9C-101B-9397-08002B2CF9AE}" pid="7" name="MSIP_Label_48209d14-df88-4a4f-8f08-4fa5970e7a5c_Method">
    <vt:lpwstr>Standard</vt:lpwstr>
  </property>
  <property fmtid="{D5CDD505-2E9C-101B-9397-08002B2CF9AE}" pid="8" name="MSIP_Label_48209d14-df88-4a4f-8f08-4fa5970e7a5c_Name">
    <vt:lpwstr>Confidential Default</vt:lpwstr>
  </property>
  <property fmtid="{D5CDD505-2E9C-101B-9397-08002B2CF9AE}" pid="9" name="MSIP_Label_48209d14-df88-4a4f-8f08-4fa5970e7a5c_SiteId">
    <vt:lpwstr>178c1a72-3d3c-40af-baa7-54615303bcdc</vt:lpwstr>
  </property>
  <property fmtid="{D5CDD505-2E9C-101B-9397-08002B2CF9AE}" pid="10" name="MSIP_Label_48209d14-df88-4a4f-8f08-4fa5970e7a5c_ActionId">
    <vt:lpwstr>bd063cd5-a6c7-43ee-acb4-b4913555d846</vt:lpwstr>
  </property>
  <property fmtid="{D5CDD505-2E9C-101B-9397-08002B2CF9AE}" pid="11" name="MSIP_Label_48209d14-df88-4a4f-8f08-4fa5970e7a5c_ContentBits">
    <vt:lpwstr>2</vt:lpwstr>
  </property>
  <property fmtid="{D5CDD505-2E9C-101B-9397-08002B2CF9AE}" pid="12" name="MSIP_Label_48209d14-df88-4a4f-8f08-4fa5970e7a5c_Tag">
    <vt:lpwstr>10, 3, 0, 1</vt:lpwstr>
  </property>
</Properties>
</file>