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67FA" w14:textId="7CA5943E" w:rsidR="00B23F48" w:rsidRPr="00D63410" w:rsidRDefault="005521C4" w:rsidP="000F57D8">
      <w:pPr>
        <w:jc w:val="center"/>
        <w:rPr>
          <w:b/>
          <w:bCs/>
          <w:color w:val="C00000"/>
          <w:sz w:val="28"/>
          <w:szCs w:val="28"/>
        </w:rPr>
      </w:pPr>
      <w:r w:rsidRPr="00D63410">
        <w:rPr>
          <w:b/>
          <w:bCs/>
          <w:color w:val="C00000"/>
          <w:sz w:val="28"/>
          <w:szCs w:val="28"/>
        </w:rPr>
        <w:t>Budget Impact Analysis of Cariprazine for the treatment of Schizophrenia</w:t>
      </w:r>
      <w:r w:rsidR="001B4141">
        <w:rPr>
          <w:b/>
          <w:bCs/>
          <w:color w:val="C00000"/>
          <w:sz w:val="28"/>
          <w:szCs w:val="28"/>
        </w:rPr>
        <w:t xml:space="preserve"> with Predominantly Negative Symptoms</w:t>
      </w:r>
      <w:r w:rsidRPr="00D63410">
        <w:rPr>
          <w:b/>
          <w:bCs/>
          <w:color w:val="C00000"/>
          <w:sz w:val="28"/>
          <w:szCs w:val="28"/>
        </w:rPr>
        <w:t xml:space="preserve"> in United Arab Emirates </w:t>
      </w:r>
      <w:r w:rsidR="000F57D8" w:rsidRPr="00D63410">
        <w:rPr>
          <w:b/>
          <w:bCs/>
          <w:color w:val="C00000"/>
          <w:sz w:val="28"/>
          <w:szCs w:val="28"/>
        </w:rPr>
        <w:t>(UAE)</w:t>
      </w:r>
    </w:p>
    <w:p w14:paraId="4FC187D0" w14:textId="77777777" w:rsidR="00A239B6" w:rsidRDefault="00A239B6" w:rsidP="001B4B7D">
      <w:pPr>
        <w:rPr>
          <w:color w:val="000000" w:themeColor="text1"/>
        </w:rPr>
      </w:pPr>
    </w:p>
    <w:p w14:paraId="53245556" w14:textId="3672089F" w:rsidR="00E561E1" w:rsidRPr="008124E3" w:rsidRDefault="001B4B7D" w:rsidP="001B4B7D">
      <w:pPr>
        <w:rPr>
          <w:color w:val="000000" w:themeColor="text1"/>
          <w:vertAlign w:val="superscript"/>
        </w:rPr>
      </w:pPr>
      <w:r w:rsidRPr="001B4B7D">
        <w:rPr>
          <w:color w:val="000000" w:themeColor="text1"/>
        </w:rPr>
        <w:t>Mohamed Bardi</w:t>
      </w:r>
      <w:r w:rsidR="008124E3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, Rihab Al-Homsi</w:t>
      </w:r>
      <w:r w:rsidR="008124E3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, Noor Arrabi</w:t>
      </w:r>
      <w:r w:rsidR="00E868C9">
        <w:rPr>
          <w:color w:val="000000" w:themeColor="text1"/>
          <w:vertAlign w:val="superscript"/>
        </w:rPr>
        <w:t>3</w:t>
      </w:r>
      <w:r w:rsidR="00C36C11">
        <w:rPr>
          <w:color w:val="000000" w:themeColor="text1"/>
        </w:rPr>
        <w:t xml:space="preserve">, </w:t>
      </w:r>
      <w:r w:rsidR="008124E3" w:rsidRPr="00500BCD">
        <w:rPr>
          <w:color w:val="000000" w:themeColor="text1"/>
          <w:u w:val="single"/>
        </w:rPr>
        <w:t>Tareq Abu-Rumman</w:t>
      </w:r>
      <w:r w:rsidR="00E868C9">
        <w:rPr>
          <w:color w:val="000000" w:themeColor="text1"/>
          <w:vertAlign w:val="superscript"/>
        </w:rPr>
        <w:t>3</w:t>
      </w:r>
      <w:r w:rsidR="00500BCD">
        <w:rPr>
          <w:color w:val="000000" w:themeColor="text1"/>
        </w:rPr>
        <w:t xml:space="preserve">, </w:t>
      </w:r>
      <w:r w:rsidR="00500BCD">
        <w:rPr>
          <w:color w:val="000000" w:themeColor="text1"/>
        </w:rPr>
        <w:t>Walid Aboelenin</w:t>
      </w:r>
      <w:r w:rsidR="00C02732">
        <w:rPr>
          <w:color w:val="000000" w:themeColor="text1"/>
          <w:vertAlign w:val="superscript"/>
        </w:rPr>
        <w:t>3</w:t>
      </w:r>
    </w:p>
    <w:p w14:paraId="2459F7E1" w14:textId="77777777" w:rsidR="001D4595" w:rsidRDefault="001D4595" w:rsidP="00E561E1">
      <w:pPr>
        <w:rPr>
          <w:b/>
          <w:bCs/>
          <w:sz w:val="20"/>
          <w:szCs w:val="20"/>
        </w:rPr>
      </w:pPr>
    </w:p>
    <w:p w14:paraId="315DD868" w14:textId="6654EB2A" w:rsidR="009514B5" w:rsidRPr="001D4595" w:rsidRDefault="001D4595" w:rsidP="00E561E1">
      <w:pPr>
        <w:rPr>
          <w:b/>
          <w:bCs/>
          <w:sz w:val="20"/>
          <w:szCs w:val="20"/>
        </w:rPr>
      </w:pPr>
      <w:r w:rsidRPr="001D4595">
        <w:rPr>
          <w:b/>
          <w:bCs/>
          <w:sz w:val="20"/>
          <w:szCs w:val="20"/>
        </w:rPr>
        <w:t>Affiliation</w:t>
      </w:r>
      <w:r w:rsidR="00EC3342">
        <w:rPr>
          <w:b/>
          <w:bCs/>
          <w:sz w:val="20"/>
          <w:szCs w:val="20"/>
        </w:rPr>
        <w:t>s</w:t>
      </w:r>
      <w:r w:rsidRPr="001D4595">
        <w:rPr>
          <w:b/>
          <w:bCs/>
          <w:sz w:val="20"/>
          <w:szCs w:val="20"/>
        </w:rPr>
        <w:t>:</w:t>
      </w:r>
    </w:p>
    <w:p w14:paraId="5B4C46EB" w14:textId="10E14B12" w:rsidR="001D4595" w:rsidRDefault="001D4595" w:rsidP="00E561E1">
      <w:pPr>
        <w:rPr>
          <w:rFonts w:cs="Calibri"/>
          <w:sz w:val="18"/>
          <w:szCs w:val="18"/>
        </w:rPr>
      </w:pPr>
      <w:r>
        <w:rPr>
          <w:sz w:val="20"/>
          <w:szCs w:val="20"/>
          <w:vertAlign w:val="superscript"/>
        </w:rPr>
        <w:t>1</w:t>
      </w:r>
      <w:r w:rsidR="00EC3342" w:rsidRPr="00EC3342">
        <w:rPr>
          <w:rFonts w:cs="Calibri"/>
        </w:rPr>
        <w:t xml:space="preserve"> </w:t>
      </w:r>
      <w:r w:rsidR="00EC3342" w:rsidRPr="00EC3342">
        <w:rPr>
          <w:rFonts w:cs="Calibri"/>
          <w:sz w:val="18"/>
          <w:szCs w:val="18"/>
        </w:rPr>
        <w:t>Head of the General Adult Psychiatry Department at Al Amal Psychiatric Hospital</w:t>
      </w:r>
      <w:r w:rsidR="00EC3342">
        <w:rPr>
          <w:rFonts w:cs="Calibri"/>
          <w:sz w:val="18"/>
          <w:szCs w:val="18"/>
        </w:rPr>
        <w:t xml:space="preserve"> EHS</w:t>
      </w:r>
      <w:r w:rsidR="00190641">
        <w:rPr>
          <w:rFonts w:cs="Calibri"/>
          <w:sz w:val="18"/>
          <w:szCs w:val="18"/>
        </w:rPr>
        <w:t>-</w:t>
      </w:r>
      <w:r w:rsidR="001D060D">
        <w:rPr>
          <w:rFonts w:cs="Calibri"/>
          <w:sz w:val="18"/>
          <w:szCs w:val="18"/>
        </w:rPr>
        <w:t xml:space="preserve"> </w:t>
      </w:r>
      <w:r w:rsidR="00190641">
        <w:rPr>
          <w:rFonts w:cs="Calibri"/>
          <w:sz w:val="18"/>
          <w:szCs w:val="18"/>
        </w:rPr>
        <w:t>Dubai, United Arab Emirates</w:t>
      </w:r>
    </w:p>
    <w:p w14:paraId="16189545" w14:textId="0FC7D79F" w:rsidR="00C36C11" w:rsidRDefault="00C36C11" w:rsidP="00C36C11">
      <w:pPr>
        <w:rPr>
          <w:rFonts w:cs="Calibri"/>
          <w:sz w:val="18"/>
          <w:szCs w:val="18"/>
        </w:rPr>
      </w:pPr>
      <w:r>
        <w:rPr>
          <w:sz w:val="20"/>
          <w:szCs w:val="20"/>
          <w:vertAlign w:val="superscript"/>
        </w:rPr>
        <w:t>2</w:t>
      </w:r>
      <w:r w:rsidRPr="00EC3342">
        <w:rPr>
          <w:rFonts w:cs="Calibri"/>
        </w:rPr>
        <w:t xml:space="preserve"> </w:t>
      </w:r>
      <w:r w:rsidRPr="00EC3342">
        <w:rPr>
          <w:rFonts w:cs="Calibri"/>
          <w:sz w:val="18"/>
          <w:szCs w:val="18"/>
        </w:rPr>
        <w:t>H</w:t>
      </w:r>
      <w:r>
        <w:rPr>
          <w:rFonts w:cs="Calibri"/>
          <w:sz w:val="18"/>
          <w:szCs w:val="18"/>
        </w:rPr>
        <w:t>ikma Pharmaceuticals</w:t>
      </w:r>
      <w:r w:rsidR="001F6DB5">
        <w:rPr>
          <w:rFonts w:cs="Calibri"/>
          <w:sz w:val="18"/>
          <w:szCs w:val="18"/>
        </w:rPr>
        <w:t>-Amman</w:t>
      </w:r>
      <w:r w:rsidR="00190641">
        <w:rPr>
          <w:rFonts w:cs="Calibri"/>
          <w:sz w:val="18"/>
          <w:szCs w:val="18"/>
        </w:rPr>
        <w:t>, Jordan</w:t>
      </w:r>
    </w:p>
    <w:p w14:paraId="42F75F52" w14:textId="26CAB93F" w:rsidR="00190641" w:rsidRDefault="003D2F39" w:rsidP="00190641">
      <w:pPr>
        <w:rPr>
          <w:rFonts w:cs="Calibri"/>
          <w:sz w:val="18"/>
          <w:szCs w:val="18"/>
        </w:rPr>
      </w:pPr>
      <w:r>
        <w:rPr>
          <w:sz w:val="20"/>
          <w:szCs w:val="20"/>
          <w:vertAlign w:val="superscript"/>
        </w:rPr>
        <w:t>3</w:t>
      </w:r>
      <w:r w:rsidR="00190641" w:rsidRPr="00EC3342">
        <w:rPr>
          <w:rFonts w:cs="Calibri"/>
        </w:rPr>
        <w:t xml:space="preserve"> </w:t>
      </w:r>
      <w:r w:rsidR="00190641" w:rsidRPr="00EC3342">
        <w:rPr>
          <w:rFonts w:cs="Calibri"/>
          <w:sz w:val="18"/>
          <w:szCs w:val="18"/>
        </w:rPr>
        <w:t>H</w:t>
      </w:r>
      <w:r w:rsidR="00190641">
        <w:rPr>
          <w:rFonts w:cs="Calibri"/>
          <w:sz w:val="18"/>
          <w:szCs w:val="18"/>
        </w:rPr>
        <w:t>ikma Pharmaceuticals-</w:t>
      </w:r>
      <w:r w:rsidR="00CE1906">
        <w:rPr>
          <w:rFonts w:cs="Calibri"/>
          <w:sz w:val="18"/>
          <w:szCs w:val="18"/>
        </w:rPr>
        <w:t xml:space="preserve"> Dubai</w:t>
      </w:r>
      <w:r w:rsidR="00190641">
        <w:rPr>
          <w:rFonts w:cs="Calibri"/>
          <w:sz w:val="18"/>
          <w:szCs w:val="18"/>
        </w:rPr>
        <w:t xml:space="preserve">, </w:t>
      </w:r>
      <w:r w:rsidR="001E2BF3">
        <w:rPr>
          <w:rFonts w:cs="Calibri"/>
          <w:sz w:val="18"/>
          <w:szCs w:val="18"/>
        </w:rPr>
        <w:t>United Arab Emirates</w:t>
      </w:r>
    </w:p>
    <w:p w14:paraId="4876C747" w14:textId="77777777" w:rsidR="00190641" w:rsidRDefault="00190641" w:rsidP="00C36C11">
      <w:pPr>
        <w:rPr>
          <w:rFonts w:cs="Calibri"/>
          <w:sz w:val="18"/>
          <w:szCs w:val="18"/>
        </w:rPr>
      </w:pPr>
    </w:p>
    <w:p w14:paraId="1A85B25F" w14:textId="77777777" w:rsidR="00C36C11" w:rsidRDefault="00C36C11" w:rsidP="00E561E1">
      <w:pPr>
        <w:rPr>
          <w:rFonts w:cs="Calibri"/>
          <w:sz w:val="18"/>
          <w:szCs w:val="18"/>
        </w:rPr>
      </w:pPr>
    </w:p>
    <w:p w14:paraId="093B4E4E" w14:textId="7843D602" w:rsidR="00B23F48" w:rsidRPr="00E561E1" w:rsidRDefault="00B23F48" w:rsidP="00E561E1">
      <w:pPr>
        <w:rPr>
          <w:b/>
          <w:bCs/>
        </w:rPr>
      </w:pPr>
      <w:r w:rsidRPr="00E561E1">
        <w:rPr>
          <w:b/>
          <w:bCs/>
        </w:rPr>
        <w:t>Objectives</w:t>
      </w:r>
    </w:p>
    <w:p w14:paraId="1A43C36F" w14:textId="01D8D3C8" w:rsidR="00755863" w:rsidRDefault="00014DF1" w:rsidP="00014DF1">
      <w:pPr>
        <w:rPr>
          <w:rFonts w:cstheme="minorHAnsi"/>
        </w:rPr>
      </w:pPr>
      <w:r w:rsidRPr="00014DF1">
        <w:rPr>
          <w:rFonts w:cstheme="minorHAnsi"/>
        </w:rPr>
        <w:t>Compared to positive symptoms, most antipsychotics have limited</w:t>
      </w:r>
      <w:r w:rsidR="0062176C">
        <w:rPr>
          <w:rFonts w:cstheme="minorHAnsi"/>
        </w:rPr>
        <w:t xml:space="preserve"> evidence o</w:t>
      </w:r>
      <w:r w:rsidR="00E453A8">
        <w:rPr>
          <w:rFonts w:cstheme="minorHAnsi"/>
        </w:rPr>
        <w:t>f</w:t>
      </w:r>
      <w:r w:rsidRPr="00014DF1">
        <w:rPr>
          <w:rFonts w:cstheme="minorHAnsi"/>
        </w:rPr>
        <w:t xml:space="preserve"> efficacy in addressing </w:t>
      </w:r>
      <w:r w:rsidR="00E453A8">
        <w:rPr>
          <w:rFonts w:cstheme="minorHAnsi"/>
        </w:rPr>
        <w:t xml:space="preserve">the </w:t>
      </w:r>
      <w:r w:rsidRPr="00014DF1">
        <w:rPr>
          <w:rFonts w:cstheme="minorHAnsi"/>
        </w:rPr>
        <w:t>negative symptoms of schizophrenia, which significantly affect patients' functional outcomes and quality of life.</w:t>
      </w:r>
      <w:r>
        <w:rPr>
          <w:rFonts w:cstheme="minorHAnsi"/>
        </w:rPr>
        <w:t xml:space="preserve"> </w:t>
      </w:r>
      <w:r w:rsidRPr="00014DF1">
        <w:t>Cariprazine, a novel antipsychotic, has demonstrated superior efficacy in treating predominant negative symptoms (PNS) compared</w:t>
      </w:r>
      <w:r w:rsidR="00C66E1F">
        <w:t xml:space="preserve"> with Risperidone</w:t>
      </w:r>
      <w:r w:rsidRPr="00014DF1">
        <w:t>.</w:t>
      </w:r>
      <w:r w:rsidR="002E70A7">
        <w:t xml:space="preserve"> </w:t>
      </w:r>
      <w:r w:rsidRPr="002E70A7">
        <w:rPr>
          <w:rFonts w:cstheme="minorHAnsi"/>
        </w:rPr>
        <w:t xml:space="preserve">This analysis </w:t>
      </w:r>
      <w:r w:rsidR="00B83175">
        <w:rPr>
          <w:rFonts w:cstheme="minorHAnsi"/>
        </w:rPr>
        <w:t xml:space="preserve">estimates </w:t>
      </w:r>
      <w:r w:rsidRPr="002E70A7">
        <w:rPr>
          <w:rFonts w:cstheme="minorHAnsi"/>
        </w:rPr>
        <w:t>the budgetary impact of introducing Cariprazine</w:t>
      </w:r>
      <w:r w:rsidR="002B5CBC">
        <w:rPr>
          <w:rFonts w:cstheme="minorHAnsi"/>
        </w:rPr>
        <w:t xml:space="preserve"> </w:t>
      </w:r>
      <w:r w:rsidR="00755863">
        <w:rPr>
          <w:rFonts w:cstheme="minorHAnsi"/>
        </w:rPr>
        <w:t>for</w:t>
      </w:r>
      <w:r w:rsidR="0042548E">
        <w:rPr>
          <w:rFonts w:cstheme="minorHAnsi"/>
        </w:rPr>
        <w:t xml:space="preserve"> </w:t>
      </w:r>
      <w:r w:rsidR="00755863">
        <w:rPr>
          <w:rFonts w:cstheme="minorHAnsi"/>
        </w:rPr>
        <w:t xml:space="preserve">patients with PNS </w:t>
      </w:r>
      <w:r w:rsidR="00755863" w:rsidRPr="00B83175">
        <w:t>from UAE public payer perspective</w:t>
      </w:r>
      <w:r w:rsidR="00755863">
        <w:t>.</w:t>
      </w:r>
    </w:p>
    <w:p w14:paraId="06856FBC" w14:textId="2A600CDF" w:rsidR="00975F4B" w:rsidRPr="00780281" w:rsidRDefault="00780281" w:rsidP="00E561E1">
      <w:pPr>
        <w:rPr>
          <w:b/>
          <w:bCs/>
        </w:rPr>
      </w:pPr>
      <w:r w:rsidRPr="00780281">
        <w:rPr>
          <w:b/>
          <w:bCs/>
        </w:rPr>
        <w:t>Method</w:t>
      </w:r>
    </w:p>
    <w:p w14:paraId="1AD84180" w14:textId="77777777" w:rsidR="008C38FC" w:rsidRPr="000B419B" w:rsidRDefault="008D6F13" w:rsidP="008C38FC">
      <w:pPr>
        <w:jc w:val="both"/>
        <w:rPr>
          <w:rFonts w:eastAsia="Times New Roman" w:cstheme="minorHAnsi"/>
          <w:color w:val="212121"/>
        </w:rPr>
      </w:pPr>
      <w:r w:rsidRPr="008D6F13">
        <w:rPr>
          <w:rFonts w:eastAsia="Times New Roman" w:cstheme="minorHAnsi"/>
          <w:color w:val="212121"/>
        </w:rPr>
        <w:t>A 5-year budget impact analysis was conducted from UAE public payer perspective, focusing on one of the country’s largest psychiatric hospitals</w:t>
      </w:r>
      <w:r w:rsidR="00907901">
        <w:rPr>
          <w:rFonts w:eastAsia="Times New Roman" w:cstheme="minorHAnsi"/>
          <w:color w:val="212121"/>
        </w:rPr>
        <w:t xml:space="preserve">. </w:t>
      </w:r>
      <w:r w:rsidR="00C30BBB" w:rsidRPr="0019277E">
        <w:rPr>
          <w:rFonts w:eastAsia="Times New Roman" w:cstheme="minorHAnsi"/>
          <w:color w:val="212121"/>
        </w:rPr>
        <w:t xml:space="preserve">The model compared the annual financial consequences of </w:t>
      </w:r>
      <w:r w:rsidR="00B20939">
        <w:rPr>
          <w:rFonts w:eastAsia="Times New Roman" w:cstheme="minorHAnsi"/>
          <w:color w:val="212121"/>
        </w:rPr>
        <w:t>adding</w:t>
      </w:r>
      <w:r w:rsidR="00C30BBB" w:rsidRPr="0019277E">
        <w:rPr>
          <w:rFonts w:eastAsia="Times New Roman" w:cstheme="minorHAnsi"/>
          <w:color w:val="212121"/>
        </w:rPr>
        <w:t xml:space="preserve"> Cariprazine (tender price</w:t>
      </w:r>
      <w:r w:rsidR="000617D4">
        <w:rPr>
          <w:rFonts w:eastAsia="Times New Roman" w:cstheme="minorHAnsi"/>
          <w:color w:val="212121"/>
        </w:rPr>
        <w:t xml:space="preserve">) </w:t>
      </w:r>
      <w:r w:rsidR="00C30BBB" w:rsidRPr="0019277E">
        <w:rPr>
          <w:rFonts w:eastAsia="Times New Roman" w:cstheme="minorHAnsi"/>
          <w:color w:val="212121"/>
        </w:rPr>
        <w:t xml:space="preserve">to the </w:t>
      </w:r>
      <w:r w:rsidR="005020D7">
        <w:rPr>
          <w:rFonts w:eastAsia="Times New Roman" w:cstheme="minorHAnsi"/>
          <w:color w:val="212121"/>
        </w:rPr>
        <w:t xml:space="preserve">hospital </w:t>
      </w:r>
      <w:r w:rsidR="00C30BBB" w:rsidRPr="0019277E">
        <w:rPr>
          <w:rFonts w:eastAsia="Times New Roman" w:cstheme="minorHAnsi"/>
          <w:color w:val="212121"/>
        </w:rPr>
        <w:t xml:space="preserve">formulary, which </w:t>
      </w:r>
      <w:r w:rsidR="001227F0">
        <w:rPr>
          <w:rFonts w:eastAsia="Times New Roman" w:cstheme="minorHAnsi"/>
          <w:color w:val="212121"/>
        </w:rPr>
        <w:t xml:space="preserve">currently </w:t>
      </w:r>
      <w:r w:rsidR="00C30BBB" w:rsidRPr="0019277E">
        <w:rPr>
          <w:rFonts w:eastAsia="Times New Roman" w:cstheme="minorHAnsi"/>
          <w:color w:val="212121"/>
        </w:rPr>
        <w:t xml:space="preserve">includes </w:t>
      </w:r>
      <w:r w:rsidR="00F80AB8">
        <w:rPr>
          <w:rFonts w:eastAsia="Times New Roman" w:cstheme="minorHAnsi"/>
          <w:color w:val="212121"/>
        </w:rPr>
        <w:t>Olanzapine, Risperidone</w:t>
      </w:r>
      <w:r w:rsidR="00360D05">
        <w:rPr>
          <w:rFonts w:eastAsia="Times New Roman" w:cstheme="minorHAnsi"/>
          <w:color w:val="212121"/>
        </w:rPr>
        <w:t>,</w:t>
      </w:r>
      <w:r w:rsidR="00F80AB8">
        <w:rPr>
          <w:rFonts w:eastAsia="Times New Roman" w:cstheme="minorHAnsi"/>
          <w:color w:val="212121"/>
        </w:rPr>
        <w:t xml:space="preserve"> Quetiapine and </w:t>
      </w:r>
      <w:r w:rsidR="00C30BBB" w:rsidRPr="0019277E">
        <w:rPr>
          <w:rFonts w:eastAsia="Times New Roman" w:cstheme="minorHAnsi"/>
          <w:color w:val="212121"/>
        </w:rPr>
        <w:t>Aripiprazole</w:t>
      </w:r>
      <w:r w:rsidR="00775EAB">
        <w:rPr>
          <w:rFonts w:eastAsia="Times New Roman" w:cstheme="minorHAnsi"/>
          <w:color w:val="212121"/>
        </w:rPr>
        <w:t xml:space="preserve"> </w:t>
      </w:r>
      <w:r w:rsidR="00775EAB" w:rsidRPr="0019277E">
        <w:rPr>
          <w:rFonts w:eastAsia="Times New Roman" w:cstheme="minorHAnsi"/>
          <w:color w:val="212121"/>
        </w:rPr>
        <w:t>(</w:t>
      </w:r>
      <w:r w:rsidR="00F80AB8">
        <w:rPr>
          <w:rFonts w:eastAsia="Times New Roman" w:cstheme="minorHAnsi"/>
          <w:color w:val="212121"/>
        </w:rPr>
        <w:t>Ave</w:t>
      </w:r>
      <w:r w:rsidR="0017789C">
        <w:rPr>
          <w:rFonts w:eastAsia="Times New Roman" w:cstheme="minorHAnsi"/>
          <w:color w:val="212121"/>
        </w:rPr>
        <w:t xml:space="preserve">rage </w:t>
      </w:r>
      <w:r w:rsidR="00775EAB" w:rsidRPr="0019277E">
        <w:rPr>
          <w:rFonts w:eastAsia="Times New Roman" w:cstheme="minorHAnsi"/>
          <w:color w:val="212121"/>
        </w:rPr>
        <w:t>tender price</w:t>
      </w:r>
      <w:r w:rsidR="00B73CD6">
        <w:rPr>
          <w:rFonts w:eastAsia="Times New Roman" w:cstheme="minorHAnsi"/>
          <w:color w:val="212121"/>
        </w:rPr>
        <w:t>)</w:t>
      </w:r>
      <w:r w:rsidR="00C30BBB" w:rsidRPr="0019277E">
        <w:rPr>
          <w:rFonts w:eastAsia="Times New Roman" w:cstheme="minorHAnsi"/>
          <w:color w:val="212121"/>
        </w:rPr>
        <w:t>.</w:t>
      </w:r>
      <w:r w:rsidR="005020D7">
        <w:rPr>
          <w:rFonts w:eastAsia="Times New Roman" w:cstheme="minorHAnsi"/>
          <w:color w:val="212121"/>
        </w:rPr>
        <w:t xml:space="preserve"> </w:t>
      </w:r>
      <w:r w:rsidR="005020D7" w:rsidRPr="0019277E">
        <w:rPr>
          <w:rFonts w:eastAsia="Times New Roman" w:cstheme="minorHAnsi"/>
          <w:color w:val="212121"/>
        </w:rPr>
        <w:t>Costs included drug acquisition, healthcare resource utilization, and adverse event</w:t>
      </w:r>
      <w:r w:rsidR="00443D5A">
        <w:rPr>
          <w:rFonts w:eastAsia="Times New Roman" w:cstheme="minorHAnsi"/>
          <w:color w:val="212121"/>
        </w:rPr>
        <w:t xml:space="preserve"> </w:t>
      </w:r>
      <w:r w:rsidR="005020D7" w:rsidRPr="0019277E">
        <w:rPr>
          <w:rFonts w:eastAsia="Times New Roman" w:cstheme="minorHAnsi"/>
          <w:color w:val="212121"/>
        </w:rPr>
        <w:t>management. Resource utilization data were sourced from the European Schizophrenia Cohort (</w:t>
      </w:r>
      <w:proofErr w:type="spellStart"/>
      <w:r w:rsidR="005020D7" w:rsidRPr="0019277E">
        <w:rPr>
          <w:rFonts w:eastAsia="Times New Roman" w:cstheme="minorHAnsi"/>
          <w:color w:val="212121"/>
        </w:rPr>
        <w:t>EuroSC</w:t>
      </w:r>
      <w:proofErr w:type="spellEnd"/>
      <w:r w:rsidR="005020D7" w:rsidRPr="0019277E">
        <w:rPr>
          <w:rFonts w:eastAsia="Times New Roman" w:cstheme="minorHAnsi"/>
          <w:color w:val="212121"/>
        </w:rPr>
        <w:t xml:space="preserve">), and adverse event rates from the RGH-188-005 trial. </w:t>
      </w:r>
      <w:r w:rsidR="008C38FC" w:rsidRPr="006F387D">
        <w:rPr>
          <w:rFonts w:eastAsia="Times New Roman" w:cstheme="minorHAnsi"/>
          <w:color w:val="212121"/>
        </w:rPr>
        <w:t>Current market shares for Olanzapine, Risperidone, Quetiapine, and Aripiprazole were based on hospital prescribing data. Cariprazine was assumed to gradually gain market share: 5% in Year 1, 8% in Year 2, 10% in Year 3, 15% in Year 4, and 20% in Year 5. The eligible population included all incident and prevalent PNS cases covered by public insurance</w:t>
      </w:r>
      <w:r w:rsidR="008C38FC">
        <w:rPr>
          <w:rFonts w:eastAsia="Times New Roman" w:cstheme="minorHAnsi"/>
          <w:color w:val="212121"/>
        </w:rPr>
        <w:t xml:space="preserve"> and a</w:t>
      </w:r>
      <w:r w:rsidR="008C38FC" w:rsidRPr="006F387D">
        <w:rPr>
          <w:rFonts w:eastAsia="Times New Roman" w:cstheme="minorHAnsi"/>
          <w:color w:val="212121"/>
        </w:rPr>
        <w:t xml:space="preserve"> conservative assumption was made that all </w:t>
      </w:r>
      <w:r w:rsidR="008C38FC">
        <w:rPr>
          <w:rFonts w:eastAsia="Times New Roman" w:cstheme="minorHAnsi"/>
          <w:color w:val="212121"/>
        </w:rPr>
        <w:t>these</w:t>
      </w:r>
      <w:r w:rsidR="008C38FC" w:rsidRPr="006F387D">
        <w:rPr>
          <w:rFonts w:eastAsia="Times New Roman" w:cstheme="minorHAnsi"/>
          <w:color w:val="212121"/>
        </w:rPr>
        <w:t xml:space="preserve"> patients c</w:t>
      </w:r>
      <w:r w:rsidR="008C38FC">
        <w:rPr>
          <w:rFonts w:eastAsia="Times New Roman" w:cstheme="minorHAnsi"/>
          <w:color w:val="212121"/>
        </w:rPr>
        <w:t>ould</w:t>
      </w:r>
      <w:r w:rsidR="008C38FC" w:rsidRPr="006F387D">
        <w:rPr>
          <w:rFonts w:eastAsia="Times New Roman" w:cstheme="minorHAnsi"/>
          <w:color w:val="212121"/>
        </w:rPr>
        <w:t xml:space="preserve"> initiate Cariprazine, with no treatment switching allowed between arms.</w:t>
      </w:r>
    </w:p>
    <w:p w14:paraId="1A94DD4A" w14:textId="58908591" w:rsidR="00277373" w:rsidRPr="005C4F53" w:rsidRDefault="00277373" w:rsidP="0068742F">
      <w:pPr>
        <w:rPr>
          <w:b/>
          <w:bCs/>
        </w:rPr>
      </w:pPr>
      <w:r>
        <w:rPr>
          <w:b/>
          <w:bCs/>
        </w:rPr>
        <w:t>R</w:t>
      </w:r>
      <w:r w:rsidRPr="005C4F53">
        <w:rPr>
          <w:b/>
          <w:bCs/>
        </w:rPr>
        <w:t>esults</w:t>
      </w:r>
      <w:r w:rsidR="00B734FF">
        <w:rPr>
          <w:b/>
          <w:bCs/>
        </w:rPr>
        <w:t xml:space="preserve"> </w:t>
      </w:r>
    </w:p>
    <w:p w14:paraId="3600F956" w14:textId="5EE0E440" w:rsidR="009728A1" w:rsidRPr="00277373" w:rsidRDefault="009728A1" w:rsidP="009728A1">
      <w:pPr>
        <w:jc w:val="both"/>
        <w:rPr>
          <w:rFonts w:eastAsia="Times New Roman" w:cstheme="minorHAnsi"/>
          <w:color w:val="212121"/>
        </w:rPr>
      </w:pPr>
      <w:r w:rsidRPr="00277373">
        <w:rPr>
          <w:rFonts w:eastAsia="Times New Roman" w:cstheme="minorHAnsi"/>
          <w:color w:val="212121"/>
        </w:rPr>
        <w:lastRenderedPageBreak/>
        <w:t>The estimated incremental budget impact of introducing Cariprazine</w:t>
      </w:r>
      <w:r w:rsidR="0014622D">
        <w:rPr>
          <w:rFonts w:eastAsia="Times New Roman" w:cstheme="minorHAnsi"/>
          <w:color w:val="212121"/>
        </w:rPr>
        <w:t xml:space="preserve"> to the hospital formulary</w:t>
      </w:r>
      <w:r w:rsidRPr="00277373">
        <w:rPr>
          <w:rFonts w:eastAsia="Times New Roman" w:cstheme="minorHAnsi"/>
          <w:color w:val="212121"/>
        </w:rPr>
        <w:t xml:space="preserve"> was </w:t>
      </w:r>
      <w:r w:rsidR="00422A57">
        <w:rPr>
          <w:rFonts w:eastAsia="Times New Roman" w:cstheme="minorHAnsi"/>
          <w:color w:val="212121"/>
        </w:rPr>
        <w:t xml:space="preserve">USD </w:t>
      </w:r>
      <w:r w:rsidR="00F27606">
        <w:rPr>
          <w:rFonts w:eastAsia="Times New Roman" w:cstheme="minorHAnsi"/>
          <w:color w:val="212121"/>
        </w:rPr>
        <w:t>2,450</w:t>
      </w:r>
      <w:r w:rsidRPr="00277373">
        <w:rPr>
          <w:rFonts w:eastAsia="Times New Roman" w:cstheme="minorHAnsi"/>
          <w:color w:val="212121"/>
        </w:rPr>
        <w:t xml:space="preserve"> in </w:t>
      </w:r>
      <w:r w:rsidR="00526643">
        <w:rPr>
          <w:rFonts w:eastAsia="Times New Roman" w:cstheme="minorHAnsi"/>
          <w:color w:val="212121"/>
        </w:rPr>
        <w:t>y</w:t>
      </w:r>
      <w:r w:rsidRPr="00277373">
        <w:rPr>
          <w:rFonts w:eastAsia="Times New Roman" w:cstheme="minorHAnsi"/>
          <w:color w:val="212121"/>
        </w:rPr>
        <w:t xml:space="preserve">ear 1, </w:t>
      </w:r>
      <w:r w:rsidR="00B74BC0">
        <w:rPr>
          <w:rFonts w:eastAsia="Times New Roman" w:cstheme="minorHAnsi"/>
          <w:color w:val="212121"/>
        </w:rPr>
        <w:t xml:space="preserve">followed by cost savings of </w:t>
      </w:r>
      <w:r w:rsidR="00422A57">
        <w:rPr>
          <w:rFonts w:eastAsia="Times New Roman" w:cstheme="minorHAnsi"/>
          <w:color w:val="212121"/>
        </w:rPr>
        <w:t xml:space="preserve">USD </w:t>
      </w:r>
      <w:r w:rsidR="00F27606">
        <w:rPr>
          <w:rFonts w:eastAsia="Times New Roman" w:cstheme="minorHAnsi"/>
          <w:color w:val="212121"/>
        </w:rPr>
        <w:t>-28,480</w:t>
      </w:r>
      <w:r w:rsidRPr="00277373">
        <w:rPr>
          <w:rFonts w:eastAsia="Times New Roman" w:cstheme="minorHAnsi"/>
          <w:color w:val="212121"/>
        </w:rPr>
        <w:t xml:space="preserve"> in </w:t>
      </w:r>
      <w:r w:rsidR="00526643">
        <w:rPr>
          <w:rFonts w:eastAsia="Times New Roman" w:cstheme="minorHAnsi"/>
          <w:color w:val="212121"/>
        </w:rPr>
        <w:t>y</w:t>
      </w:r>
      <w:r w:rsidRPr="00277373">
        <w:rPr>
          <w:rFonts w:eastAsia="Times New Roman" w:cstheme="minorHAnsi"/>
          <w:color w:val="212121"/>
        </w:rPr>
        <w:t xml:space="preserve">ear 2, </w:t>
      </w:r>
      <w:r w:rsidR="00422A57">
        <w:rPr>
          <w:rFonts w:eastAsia="Times New Roman" w:cstheme="minorHAnsi"/>
          <w:color w:val="212121"/>
        </w:rPr>
        <w:t xml:space="preserve">USD </w:t>
      </w:r>
      <w:r w:rsidR="00F27606">
        <w:rPr>
          <w:rFonts w:eastAsia="Times New Roman" w:cstheme="minorHAnsi"/>
          <w:color w:val="212121"/>
        </w:rPr>
        <w:t>-103,596</w:t>
      </w:r>
      <w:r w:rsidRPr="00277373">
        <w:rPr>
          <w:rFonts w:eastAsia="Times New Roman" w:cstheme="minorHAnsi"/>
          <w:color w:val="212121"/>
        </w:rPr>
        <w:t xml:space="preserve"> in </w:t>
      </w:r>
      <w:r w:rsidR="00526643">
        <w:rPr>
          <w:rFonts w:eastAsia="Times New Roman" w:cstheme="minorHAnsi"/>
          <w:color w:val="212121"/>
        </w:rPr>
        <w:t>y</w:t>
      </w:r>
      <w:r w:rsidRPr="00277373">
        <w:rPr>
          <w:rFonts w:eastAsia="Times New Roman" w:cstheme="minorHAnsi"/>
          <w:color w:val="212121"/>
        </w:rPr>
        <w:t xml:space="preserve">ear 3, </w:t>
      </w:r>
      <w:r w:rsidR="00422A57">
        <w:rPr>
          <w:rFonts w:eastAsia="Times New Roman" w:cstheme="minorHAnsi"/>
          <w:color w:val="212121"/>
        </w:rPr>
        <w:t xml:space="preserve">USD </w:t>
      </w:r>
      <w:r w:rsidR="00F27606">
        <w:rPr>
          <w:rFonts w:eastAsia="Times New Roman" w:cstheme="minorHAnsi"/>
          <w:color w:val="212121"/>
        </w:rPr>
        <w:t>-</w:t>
      </w:r>
      <w:r w:rsidRPr="00277373">
        <w:rPr>
          <w:rFonts w:eastAsia="Times New Roman" w:cstheme="minorHAnsi"/>
          <w:color w:val="212121"/>
        </w:rPr>
        <w:t>2</w:t>
      </w:r>
      <w:r w:rsidR="00F27606">
        <w:rPr>
          <w:rFonts w:eastAsia="Times New Roman" w:cstheme="minorHAnsi"/>
          <w:color w:val="212121"/>
        </w:rPr>
        <w:t>14</w:t>
      </w:r>
      <w:r w:rsidR="00242AB4">
        <w:rPr>
          <w:rFonts w:eastAsia="Times New Roman" w:cstheme="minorHAnsi"/>
          <w:color w:val="212121"/>
        </w:rPr>
        <w:t>,</w:t>
      </w:r>
      <w:r w:rsidR="00F27606">
        <w:rPr>
          <w:rFonts w:eastAsia="Times New Roman" w:cstheme="minorHAnsi"/>
          <w:color w:val="212121"/>
        </w:rPr>
        <w:t>352</w:t>
      </w:r>
      <w:r w:rsidRPr="00277373">
        <w:rPr>
          <w:rFonts w:eastAsia="Times New Roman" w:cstheme="minorHAnsi"/>
          <w:color w:val="212121"/>
        </w:rPr>
        <w:t xml:space="preserve"> in </w:t>
      </w:r>
      <w:r w:rsidR="00526643">
        <w:rPr>
          <w:rFonts w:eastAsia="Times New Roman" w:cstheme="minorHAnsi"/>
          <w:color w:val="212121"/>
        </w:rPr>
        <w:t>y</w:t>
      </w:r>
      <w:r w:rsidRPr="00277373">
        <w:rPr>
          <w:rFonts w:eastAsia="Times New Roman" w:cstheme="minorHAnsi"/>
          <w:color w:val="212121"/>
        </w:rPr>
        <w:t xml:space="preserve">ear </w:t>
      </w:r>
      <w:r>
        <w:rPr>
          <w:rFonts w:eastAsia="Times New Roman" w:cstheme="minorHAnsi"/>
          <w:color w:val="212121"/>
        </w:rPr>
        <w:t>4, and USD</w:t>
      </w:r>
      <w:r w:rsidR="00422A57">
        <w:rPr>
          <w:rFonts w:eastAsia="Times New Roman" w:cstheme="minorHAnsi"/>
          <w:color w:val="212121"/>
        </w:rPr>
        <w:t xml:space="preserve"> </w:t>
      </w:r>
      <w:r w:rsidR="00F27606">
        <w:rPr>
          <w:rFonts w:eastAsia="Times New Roman" w:cstheme="minorHAnsi"/>
          <w:color w:val="212121"/>
        </w:rPr>
        <w:t>-377</w:t>
      </w:r>
      <w:r w:rsidR="00242AB4">
        <w:rPr>
          <w:rFonts w:eastAsia="Times New Roman" w:cstheme="minorHAnsi"/>
          <w:color w:val="212121"/>
        </w:rPr>
        <w:t>,856</w:t>
      </w:r>
      <w:r w:rsidRPr="00277373">
        <w:rPr>
          <w:rFonts w:eastAsia="Times New Roman" w:cstheme="minorHAnsi"/>
          <w:color w:val="212121"/>
        </w:rPr>
        <w:t xml:space="preserve"> in </w:t>
      </w:r>
      <w:r w:rsidR="00526643">
        <w:rPr>
          <w:rFonts w:eastAsia="Times New Roman" w:cstheme="minorHAnsi"/>
          <w:color w:val="212121"/>
        </w:rPr>
        <w:t>y</w:t>
      </w:r>
      <w:r w:rsidRPr="00277373">
        <w:rPr>
          <w:rFonts w:eastAsia="Times New Roman" w:cstheme="minorHAnsi"/>
          <w:color w:val="212121"/>
        </w:rPr>
        <w:t xml:space="preserve">ear </w:t>
      </w:r>
      <w:r>
        <w:rPr>
          <w:rFonts w:eastAsia="Times New Roman" w:cstheme="minorHAnsi"/>
          <w:color w:val="212121"/>
        </w:rPr>
        <w:t xml:space="preserve">5 </w:t>
      </w:r>
      <w:r w:rsidRPr="00277373">
        <w:rPr>
          <w:rFonts w:eastAsia="Times New Roman" w:cstheme="minorHAnsi"/>
          <w:color w:val="212121"/>
        </w:rPr>
        <w:t xml:space="preserve">with a cumulative </w:t>
      </w:r>
      <w:r>
        <w:rPr>
          <w:rFonts w:eastAsia="Times New Roman" w:cstheme="minorHAnsi"/>
          <w:color w:val="212121"/>
        </w:rPr>
        <w:t>5</w:t>
      </w:r>
      <w:r w:rsidRPr="00277373">
        <w:rPr>
          <w:rFonts w:eastAsia="Times New Roman" w:cstheme="minorHAnsi"/>
          <w:color w:val="212121"/>
        </w:rPr>
        <w:t xml:space="preserve">-year </w:t>
      </w:r>
      <w:r w:rsidR="00337C96">
        <w:rPr>
          <w:rFonts w:eastAsia="Times New Roman" w:cstheme="minorHAnsi"/>
          <w:color w:val="212121"/>
        </w:rPr>
        <w:t xml:space="preserve">budget </w:t>
      </w:r>
      <w:r w:rsidRPr="00277373">
        <w:rPr>
          <w:rFonts w:eastAsia="Times New Roman" w:cstheme="minorHAnsi"/>
          <w:color w:val="212121"/>
        </w:rPr>
        <w:t xml:space="preserve">impact of </w:t>
      </w:r>
      <w:r w:rsidR="00422A57">
        <w:rPr>
          <w:rFonts w:eastAsia="Times New Roman" w:cstheme="minorHAnsi"/>
          <w:color w:val="212121"/>
        </w:rPr>
        <w:t xml:space="preserve">USD </w:t>
      </w:r>
      <w:r w:rsidR="00242AB4">
        <w:rPr>
          <w:rFonts w:eastAsia="Times New Roman" w:cstheme="minorHAnsi"/>
          <w:color w:val="212121"/>
        </w:rPr>
        <w:t>-721,833</w:t>
      </w:r>
      <w:r w:rsidRPr="00277373">
        <w:rPr>
          <w:rFonts w:eastAsia="Times New Roman" w:cstheme="minorHAnsi"/>
          <w:color w:val="212121"/>
        </w:rPr>
        <w:t>.</w:t>
      </w:r>
    </w:p>
    <w:p w14:paraId="020E9FFC" w14:textId="72508F4E" w:rsidR="00D50B86" w:rsidRDefault="00D50B86" w:rsidP="00D50B86">
      <w:pPr>
        <w:rPr>
          <w:b/>
          <w:bCs/>
        </w:rPr>
      </w:pPr>
      <w:r w:rsidRPr="00B6025B">
        <w:rPr>
          <w:b/>
          <w:bCs/>
        </w:rPr>
        <w:t xml:space="preserve">Conclusion </w:t>
      </w:r>
    </w:p>
    <w:p w14:paraId="4C295570" w14:textId="6B8E09B3" w:rsidR="001E46E5" w:rsidRDefault="00B01804" w:rsidP="002D06FD">
      <w:pPr>
        <w:jc w:val="both"/>
        <w:rPr>
          <w:rFonts w:eastAsia="Times New Roman" w:cstheme="minorHAnsi"/>
          <w:color w:val="212121"/>
        </w:rPr>
      </w:pPr>
      <w:r w:rsidRPr="00B01804">
        <w:rPr>
          <w:rFonts w:eastAsia="Times New Roman" w:cstheme="minorHAnsi"/>
          <w:color w:val="212121"/>
        </w:rPr>
        <w:t>Cariprazine inclusion in UAE public formulary</w:t>
      </w:r>
      <w:r w:rsidR="00E775FD">
        <w:rPr>
          <w:rFonts w:eastAsia="Times New Roman" w:cstheme="minorHAnsi"/>
          <w:color w:val="212121"/>
        </w:rPr>
        <w:t xml:space="preserve"> for PNS</w:t>
      </w:r>
      <w:r w:rsidR="007A7EE4">
        <w:rPr>
          <w:rFonts w:eastAsia="Times New Roman" w:cstheme="minorHAnsi"/>
          <w:color w:val="212121"/>
        </w:rPr>
        <w:t xml:space="preserve"> schizophrenia</w:t>
      </w:r>
      <w:r w:rsidR="00E775FD">
        <w:rPr>
          <w:rFonts w:eastAsia="Times New Roman" w:cstheme="minorHAnsi"/>
          <w:color w:val="212121"/>
        </w:rPr>
        <w:t xml:space="preserve"> trea</w:t>
      </w:r>
      <w:r w:rsidR="00FB7F91">
        <w:rPr>
          <w:rFonts w:eastAsia="Times New Roman" w:cstheme="minorHAnsi"/>
          <w:color w:val="212121"/>
        </w:rPr>
        <w:t>t</w:t>
      </w:r>
      <w:r w:rsidR="00E775FD">
        <w:rPr>
          <w:rFonts w:eastAsia="Times New Roman" w:cstheme="minorHAnsi"/>
          <w:color w:val="212121"/>
        </w:rPr>
        <w:t>ment</w:t>
      </w:r>
      <w:r w:rsidRPr="00B01804">
        <w:rPr>
          <w:rFonts w:eastAsia="Times New Roman" w:cstheme="minorHAnsi"/>
          <w:color w:val="212121"/>
        </w:rPr>
        <w:t xml:space="preserve"> </w:t>
      </w:r>
      <w:r w:rsidR="002D06FD" w:rsidRPr="002D06FD">
        <w:rPr>
          <w:rFonts w:eastAsia="Times New Roman" w:cstheme="minorHAnsi"/>
          <w:color w:val="212121"/>
        </w:rPr>
        <w:t xml:space="preserve">may lead to substantial cost savings for the public payer, </w:t>
      </w:r>
      <w:r w:rsidR="009258F0">
        <w:rPr>
          <w:rFonts w:eastAsia="Times New Roman" w:cstheme="minorHAnsi"/>
          <w:color w:val="212121"/>
        </w:rPr>
        <w:t>primarily through reduced</w:t>
      </w:r>
      <w:r w:rsidR="006258BF">
        <w:rPr>
          <w:rFonts w:eastAsia="Times New Roman" w:cstheme="minorHAnsi"/>
          <w:color w:val="212121"/>
        </w:rPr>
        <w:t xml:space="preserve"> healthcare </w:t>
      </w:r>
      <w:r w:rsidR="006258BF" w:rsidRPr="003917DF">
        <w:t>resource utilization costs</w:t>
      </w:r>
      <w:r w:rsidR="006258BF">
        <w:rPr>
          <w:rFonts w:eastAsia="Times New Roman" w:cstheme="minorHAnsi"/>
          <w:color w:val="212121"/>
        </w:rPr>
        <w:t>.</w:t>
      </w:r>
    </w:p>
    <w:sectPr w:rsidR="001E46E5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B960A" w14:textId="77777777" w:rsidR="00EC70AD" w:rsidRDefault="00EC70AD" w:rsidP="001C10EB">
      <w:pPr>
        <w:spacing w:after="0" w:line="240" w:lineRule="auto"/>
      </w:pPr>
      <w:r>
        <w:separator/>
      </w:r>
    </w:p>
  </w:endnote>
  <w:endnote w:type="continuationSeparator" w:id="0">
    <w:p w14:paraId="31320EA1" w14:textId="77777777" w:rsidR="00EC70AD" w:rsidRDefault="00EC70AD" w:rsidP="001C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9919" w14:textId="5D22893C" w:rsidR="001C10EB" w:rsidRDefault="001C10E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F7BA03" wp14:editId="758B3B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1893148199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7244" w14:textId="6EAA8D6A" w:rsidR="001C10EB" w:rsidRPr="001C10EB" w:rsidRDefault="001C10EB" w:rsidP="001C10EB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0EB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7BA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3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" filled="f" stroked="f">
              <v:textbox style="mso-fit-shape-to-text:t" inset="20pt,0,0,15pt">
                <w:txbxContent>
                  <w:p w14:paraId="68967244" w14:textId="6EAA8D6A" w:rsidR="001C10EB" w:rsidRPr="001C10EB" w:rsidRDefault="001C10EB" w:rsidP="001C10EB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0EB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BD58" w14:textId="418CBCFA" w:rsidR="001C10EB" w:rsidRDefault="001C10E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3A9611" wp14:editId="58135E9D">
              <wp:simplePos x="914400" y="941832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869983788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5C10F" w14:textId="5E8C2B33" w:rsidR="001C10EB" w:rsidRPr="001C10EB" w:rsidRDefault="001C10EB" w:rsidP="001C10EB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0EB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A96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3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" filled="f" stroked="f">
              <v:textbox style="mso-fit-shape-to-text:t" inset="20pt,0,0,15pt">
                <w:txbxContent>
                  <w:p w14:paraId="15C5C10F" w14:textId="5E8C2B33" w:rsidR="001C10EB" w:rsidRPr="001C10EB" w:rsidRDefault="001C10EB" w:rsidP="001C10EB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0EB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FC55" w14:textId="1DD5E63F" w:rsidR="001C10EB" w:rsidRDefault="001C10E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EED056" wp14:editId="1A905B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0110" cy="370205"/>
              <wp:effectExtent l="0" t="0" r="15240" b="0"/>
              <wp:wrapNone/>
              <wp:docPr id="163030658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13B086" w14:textId="7B67DB38" w:rsidR="001C10EB" w:rsidRPr="001C10EB" w:rsidRDefault="001C10EB" w:rsidP="001C10EB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0EB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ED0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3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" filled="f" stroked="f">
              <v:textbox style="mso-fit-shape-to-text:t" inset="20pt,0,0,15pt">
                <w:txbxContent>
                  <w:p w14:paraId="5113B086" w14:textId="7B67DB38" w:rsidR="001C10EB" w:rsidRPr="001C10EB" w:rsidRDefault="001C10EB" w:rsidP="001C10EB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0EB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8DE2B" w14:textId="77777777" w:rsidR="00EC70AD" w:rsidRDefault="00EC70AD" w:rsidP="001C10EB">
      <w:pPr>
        <w:spacing w:after="0" w:line="240" w:lineRule="auto"/>
      </w:pPr>
      <w:r>
        <w:separator/>
      </w:r>
    </w:p>
  </w:footnote>
  <w:footnote w:type="continuationSeparator" w:id="0">
    <w:p w14:paraId="3F099884" w14:textId="77777777" w:rsidR="00EC70AD" w:rsidRDefault="00EC70AD" w:rsidP="001C1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1123D"/>
    <w:multiLevelType w:val="hybridMultilevel"/>
    <w:tmpl w:val="E256BD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8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48"/>
    <w:rsid w:val="000060BE"/>
    <w:rsid w:val="00011EDB"/>
    <w:rsid w:val="00014DF1"/>
    <w:rsid w:val="00023D81"/>
    <w:rsid w:val="0003390D"/>
    <w:rsid w:val="00041ED2"/>
    <w:rsid w:val="000617D4"/>
    <w:rsid w:val="00085B8E"/>
    <w:rsid w:val="00097B39"/>
    <w:rsid w:val="000A5259"/>
    <w:rsid w:val="000B419B"/>
    <w:rsid w:val="000D504E"/>
    <w:rsid w:val="000F57D8"/>
    <w:rsid w:val="001108A1"/>
    <w:rsid w:val="00111421"/>
    <w:rsid w:val="001227F0"/>
    <w:rsid w:val="00126CA5"/>
    <w:rsid w:val="00127464"/>
    <w:rsid w:val="001448DF"/>
    <w:rsid w:val="0014622D"/>
    <w:rsid w:val="0015574C"/>
    <w:rsid w:val="00173418"/>
    <w:rsid w:val="0017789C"/>
    <w:rsid w:val="00190641"/>
    <w:rsid w:val="0019277E"/>
    <w:rsid w:val="001A058C"/>
    <w:rsid w:val="001B4141"/>
    <w:rsid w:val="001B4A21"/>
    <w:rsid w:val="001B4A54"/>
    <w:rsid w:val="001B4B7D"/>
    <w:rsid w:val="001C10EB"/>
    <w:rsid w:val="001D060D"/>
    <w:rsid w:val="001D1726"/>
    <w:rsid w:val="001D180B"/>
    <w:rsid w:val="001D4595"/>
    <w:rsid w:val="001E2BF3"/>
    <w:rsid w:val="001E46E5"/>
    <w:rsid w:val="001F6DB5"/>
    <w:rsid w:val="002148E2"/>
    <w:rsid w:val="00242AB4"/>
    <w:rsid w:val="002606FE"/>
    <w:rsid w:val="00264B66"/>
    <w:rsid w:val="00277373"/>
    <w:rsid w:val="00280BDA"/>
    <w:rsid w:val="00293862"/>
    <w:rsid w:val="002B28B0"/>
    <w:rsid w:val="002B5CBC"/>
    <w:rsid w:val="002D06FD"/>
    <w:rsid w:val="002E530B"/>
    <w:rsid w:val="002E70A7"/>
    <w:rsid w:val="002F723E"/>
    <w:rsid w:val="00300E3F"/>
    <w:rsid w:val="003029AB"/>
    <w:rsid w:val="00304A0B"/>
    <w:rsid w:val="0030599B"/>
    <w:rsid w:val="00321B99"/>
    <w:rsid w:val="00334D83"/>
    <w:rsid w:val="00337C96"/>
    <w:rsid w:val="00342A6F"/>
    <w:rsid w:val="00357C0D"/>
    <w:rsid w:val="00360D05"/>
    <w:rsid w:val="00364734"/>
    <w:rsid w:val="00390567"/>
    <w:rsid w:val="003B6066"/>
    <w:rsid w:val="003D2F39"/>
    <w:rsid w:val="003F20C7"/>
    <w:rsid w:val="003F265D"/>
    <w:rsid w:val="003F7ED7"/>
    <w:rsid w:val="00405FC0"/>
    <w:rsid w:val="00412DE9"/>
    <w:rsid w:val="00422A57"/>
    <w:rsid w:val="0042434A"/>
    <w:rsid w:val="0042548E"/>
    <w:rsid w:val="004344A8"/>
    <w:rsid w:val="00443D5A"/>
    <w:rsid w:val="00456F67"/>
    <w:rsid w:val="00470029"/>
    <w:rsid w:val="00477575"/>
    <w:rsid w:val="00483B71"/>
    <w:rsid w:val="00493C04"/>
    <w:rsid w:val="004B4509"/>
    <w:rsid w:val="004C78A5"/>
    <w:rsid w:val="004E1849"/>
    <w:rsid w:val="004F0BA2"/>
    <w:rsid w:val="004F78B9"/>
    <w:rsid w:val="00500BCD"/>
    <w:rsid w:val="00500C1E"/>
    <w:rsid w:val="005020D7"/>
    <w:rsid w:val="005138B4"/>
    <w:rsid w:val="00520884"/>
    <w:rsid w:val="00526643"/>
    <w:rsid w:val="00547EC0"/>
    <w:rsid w:val="005521C4"/>
    <w:rsid w:val="00554F61"/>
    <w:rsid w:val="00555905"/>
    <w:rsid w:val="005643B3"/>
    <w:rsid w:val="00566B13"/>
    <w:rsid w:val="00593827"/>
    <w:rsid w:val="005C4F53"/>
    <w:rsid w:val="005D0702"/>
    <w:rsid w:val="005D3D17"/>
    <w:rsid w:val="005D47D8"/>
    <w:rsid w:val="005E45CA"/>
    <w:rsid w:val="006178B6"/>
    <w:rsid w:val="0062176C"/>
    <w:rsid w:val="006258BF"/>
    <w:rsid w:val="00656D5B"/>
    <w:rsid w:val="006809C9"/>
    <w:rsid w:val="0068742F"/>
    <w:rsid w:val="00695030"/>
    <w:rsid w:val="006A349B"/>
    <w:rsid w:val="006B0888"/>
    <w:rsid w:val="006B50BD"/>
    <w:rsid w:val="006D02A9"/>
    <w:rsid w:val="006F0CA8"/>
    <w:rsid w:val="006F10E7"/>
    <w:rsid w:val="006F209F"/>
    <w:rsid w:val="006F387D"/>
    <w:rsid w:val="006F408A"/>
    <w:rsid w:val="00701177"/>
    <w:rsid w:val="00704161"/>
    <w:rsid w:val="00722DE1"/>
    <w:rsid w:val="007255DF"/>
    <w:rsid w:val="00731329"/>
    <w:rsid w:val="00742526"/>
    <w:rsid w:val="00755863"/>
    <w:rsid w:val="007706CC"/>
    <w:rsid w:val="00775EAB"/>
    <w:rsid w:val="00780281"/>
    <w:rsid w:val="00783FC4"/>
    <w:rsid w:val="007A7EE4"/>
    <w:rsid w:val="007B0391"/>
    <w:rsid w:val="007C3816"/>
    <w:rsid w:val="007E60AD"/>
    <w:rsid w:val="00805C4C"/>
    <w:rsid w:val="008124E3"/>
    <w:rsid w:val="00833134"/>
    <w:rsid w:val="00841BA8"/>
    <w:rsid w:val="00857082"/>
    <w:rsid w:val="00873F35"/>
    <w:rsid w:val="00884409"/>
    <w:rsid w:val="00886A31"/>
    <w:rsid w:val="008A544E"/>
    <w:rsid w:val="008C38FC"/>
    <w:rsid w:val="008D6F13"/>
    <w:rsid w:val="008E738E"/>
    <w:rsid w:val="008F0AC5"/>
    <w:rsid w:val="008F6640"/>
    <w:rsid w:val="00907901"/>
    <w:rsid w:val="00910A27"/>
    <w:rsid w:val="00916757"/>
    <w:rsid w:val="009258F0"/>
    <w:rsid w:val="009514B5"/>
    <w:rsid w:val="0096239F"/>
    <w:rsid w:val="009728A1"/>
    <w:rsid w:val="009736C5"/>
    <w:rsid w:val="00975F4B"/>
    <w:rsid w:val="009A7317"/>
    <w:rsid w:val="009C1AAE"/>
    <w:rsid w:val="009D618C"/>
    <w:rsid w:val="009E2C39"/>
    <w:rsid w:val="009E331D"/>
    <w:rsid w:val="00A06B7C"/>
    <w:rsid w:val="00A239B6"/>
    <w:rsid w:val="00A422EA"/>
    <w:rsid w:val="00A77235"/>
    <w:rsid w:val="00A83A6B"/>
    <w:rsid w:val="00AB7561"/>
    <w:rsid w:val="00AC7CBF"/>
    <w:rsid w:val="00B01804"/>
    <w:rsid w:val="00B11BAA"/>
    <w:rsid w:val="00B20939"/>
    <w:rsid w:val="00B20EB5"/>
    <w:rsid w:val="00B23F48"/>
    <w:rsid w:val="00B27363"/>
    <w:rsid w:val="00B534E4"/>
    <w:rsid w:val="00B6025B"/>
    <w:rsid w:val="00B734FF"/>
    <w:rsid w:val="00B73CD6"/>
    <w:rsid w:val="00B74BC0"/>
    <w:rsid w:val="00B80A54"/>
    <w:rsid w:val="00B81BE6"/>
    <w:rsid w:val="00B83175"/>
    <w:rsid w:val="00BA0848"/>
    <w:rsid w:val="00BA7BD5"/>
    <w:rsid w:val="00BB09DE"/>
    <w:rsid w:val="00BE5731"/>
    <w:rsid w:val="00BE63D1"/>
    <w:rsid w:val="00BE7EB8"/>
    <w:rsid w:val="00C02732"/>
    <w:rsid w:val="00C06670"/>
    <w:rsid w:val="00C16A65"/>
    <w:rsid w:val="00C21861"/>
    <w:rsid w:val="00C30BBB"/>
    <w:rsid w:val="00C36C11"/>
    <w:rsid w:val="00C44224"/>
    <w:rsid w:val="00C6141F"/>
    <w:rsid w:val="00C66E1F"/>
    <w:rsid w:val="00C85B74"/>
    <w:rsid w:val="00C863DB"/>
    <w:rsid w:val="00C94CD5"/>
    <w:rsid w:val="00CA4740"/>
    <w:rsid w:val="00CA6FA4"/>
    <w:rsid w:val="00CB0992"/>
    <w:rsid w:val="00CB140B"/>
    <w:rsid w:val="00CE1906"/>
    <w:rsid w:val="00D014B5"/>
    <w:rsid w:val="00D10D75"/>
    <w:rsid w:val="00D1318C"/>
    <w:rsid w:val="00D3041C"/>
    <w:rsid w:val="00D42931"/>
    <w:rsid w:val="00D505DC"/>
    <w:rsid w:val="00D50B86"/>
    <w:rsid w:val="00D63410"/>
    <w:rsid w:val="00D71B0C"/>
    <w:rsid w:val="00D721F2"/>
    <w:rsid w:val="00DA016F"/>
    <w:rsid w:val="00DA16EB"/>
    <w:rsid w:val="00DB534E"/>
    <w:rsid w:val="00DD17DE"/>
    <w:rsid w:val="00DD6E5D"/>
    <w:rsid w:val="00E00C58"/>
    <w:rsid w:val="00E135D2"/>
    <w:rsid w:val="00E273ED"/>
    <w:rsid w:val="00E453A8"/>
    <w:rsid w:val="00E561E1"/>
    <w:rsid w:val="00E64024"/>
    <w:rsid w:val="00E754A4"/>
    <w:rsid w:val="00E775FD"/>
    <w:rsid w:val="00E8105A"/>
    <w:rsid w:val="00E82498"/>
    <w:rsid w:val="00E83B1B"/>
    <w:rsid w:val="00E868C9"/>
    <w:rsid w:val="00E96877"/>
    <w:rsid w:val="00EC3121"/>
    <w:rsid w:val="00EC3342"/>
    <w:rsid w:val="00EC4B76"/>
    <w:rsid w:val="00EC70AD"/>
    <w:rsid w:val="00ED7C11"/>
    <w:rsid w:val="00EE750C"/>
    <w:rsid w:val="00EF21E8"/>
    <w:rsid w:val="00F11861"/>
    <w:rsid w:val="00F14900"/>
    <w:rsid w:val="00F27606"/>
    <w:rsid w:val="00F379AC"/>
    <w:rsid w:val="00F47059"/>
    <w:rsid w:val="00F65334"/>
    <w:rsid w:val="00F80AB8"/>
    <w:rsid w:val="00F906FD"/>
    <w:rsid w:val="00F911EF"/>
    <w:rsid w:val="00FB7F91"/>
    <w:rsid w:val="00FC468B"/>
    <w:rsid w:val="00FC59DB"/>
    <w:rsid w:val="00FD0CD3"/>
    <w:rsid w:val="00FD1284"/>
    <w:rsid w:val="00FD597E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4792"/>
  <w15:chartTrackingRefBased/>
  <w15:docId w15:val="{DDE72DA5-F6D0-4F5E-AA1F-64E1C2BE9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F48"/>
    <w:pPr>
      <w:spacing w:line="278" w:lineRule="auto"/>
    </w:pPr>
    <w:rPr>
      <w:rFonts w:ascii="Calibri" w:eastAsia="Calibri" w:hAnsi="Calibri" w:cs="Arial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F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F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F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F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F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F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F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F4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23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F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F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F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F48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C10EB"/>
  </w:style>
  <w:style w:type="paragraph" w:styleId="Footer">
    <w:name w:val="footer"/>
    <w:basedOn w:val="Normal"/>
    <w:link w:val="FooterChar"/>
    <w:uiPriority w:val="99"/>
    <w:unhideWhenUsed/>
    <w:rsid w:val="001C1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0EB"/>
    <w:rPr>
      <w:rFonts w:ascii="Calibri" w:eastAsia="Calibri" w:hAnsi="Calibri" w:cs="Arial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54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544E"/>
    <w:pPr>
      <w:spacing w:line="240" w:lineRule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44E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S. Al-Homsi</dc:creator>
  <cp:keywords/>
  <dc:description/>
  <cp:lastModifiedBy>Rihab S. Al-Homsi</cp:lastModifiedBy>
  <cp:revision>2</cp:revision>
  <dcterms:created xsi:type="dcterms:W3CDTF">2025-04-30T17:19:00Z</dcterms:created>
  <dcterms:modified xsi:type="dcterms:W3CDTF">2025-04-30T17:19:00Z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612c8115,70d72627,33dae62c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8209d14-df88-4a4f-8f08-4fa5970e7a5c_Enabled">
    <vt:lpwstr>true</vt:lpwstr>
  </property>
  <property fmtid="{D5CDD505-2E9C-101B-9397-08002B2CF9AE}" pid="6" name="MSIP_Label_48209d14-df88-4a4f-8f08-4fa5970e7a5c_SetDate">
    <vt:lpwstr>2025-04-29T01:24:12Z</vt:lpwstr>
  </property>
  <property fmtid="{D5CDD505-2E9C-101B-9397-08002B2CF9AE}" pid="7" name="MSIP_Label_48209d14-df88-4a4f-8f08-4fa5970e7a5c_Method">
    <vt:lpwstr>Standard</vt:lpwstr>
  </property>
  <property fmtid="{D5CDD505-2E9C-101B-9397-08002B2CF9AE}" pid="8" name="MSIP_Label_48209d14-df88-4a4f-8f08-4fa5970e7a5c_Name">
    <vt:lpwstr>Confidential Default</vt:lpwstr>
  </property>
  <property fmtid="{D5CDD505-2E9C-101B-9397-08002B2CF9AE}" pid="9" name="MSIP_Label_48209d14-df88-4a4f-8f08-4fa5970e7a5c_SiteId">
    <vt:lpwstr>178c1a72-3d3c-40af-baa7-54615303bcdc</vt:lpwstr>
  </property>
  <property fmtid="{D5CDD505-2E9C-101B-9397-08002B2CF9AE}" pid="10" name="MSIP_Label_48209d14-df88-4a4f-8f08-4fa5970e7a5c_ActionId">
    <vt:lpwstr>342e8993-e546-4773-92c6-e031d5cdf0e3</vt:lpwstr>
  </property>
  <property fmtid="{D5CDD505-2E9C-101B-9397-08002B2CF9AE}" pid="11" name="MSIP_Label_48209d14-df88-4a4f-8f08-4fa5970e7a5c_ContentBits">
    <vt:lpwstr>2</vt:lpwstr>
  </property>
  <property fmtid="{D5CDD505-2E9C-101B-9397-08002B2CF9AE}" pid="12" name="MSIP_Label_48209d14-df88-4a4f-8f08-4fa5970e7a5c_Tag">
    <vt:lpwstr>10, 3, 0, 1</vt:lpwstr>
  </property>
</Properties>
</file>