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2E40" w14:textId="2DE67028" w:rsidR="000331F3" w:rsidRPr="0004253F" w:rsidRDefault="000331F3" w:rsidP="000331F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4253F">
        <w:rPr>
          <w:rFonts w:asciiTheme="majorBidi" w:hAnsiTheme="majorBidi" w:cstheme="majorBidi"/>
          <w:b/>
          <w:bCs/>
          <w:sz w:val="24"/>
          <w:szCs w:val="24"/>
        </w:rPr>
        <w:t>The Role of Real-World Evidence in Supporting HTA and Reimbursement Decisions: Perspectives from Selected MENA Countries</w:t>
      </w:r>
    </w:p>
    <w:p w14:paraId="7BCA482A" w14:textId="47BC2873" w:rsidR="0046647F" w:rsidRPr="0004253F" w:rsidRDefault="0046647F" w:rsidP="0046647F">
      <w:pPr>
        <w:spacing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04253F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Authors: </w:t>
      </w:r>
      <w:r w:rsidRPr="0004253F">
        <w:rPr>
          <w:rFonts w:asciiTheme="majorBidi" w:eastAsia="Times New Roman" w:hAnsiTheme="majorBidi" w:cstheme="majorBidi"/>
          <w:b/>
          <w:bCs/>
          <w:sz w:val="24"/>
          <w:szCs w:val="24"/>
        </w:rPr>
        <w:t>Martyna Giedrojc Amir¹*</w:t>
      </w:r>
      <w:r w:rsidRPr="0004253F">
        <w:rPr>
          <w:rFonts w:asciiTheme="majorBidi" w:eastAsia="Times New Roman" w:hAnsiTheme="majorBidi" w:cstheme="majorBidi"/>
          <w:sz w:val="24"/>
          <w:szCs w:val="24"/>
        </w:rPr>
        <w:t>, Ahmad Essa², Layal Harati³, Sahar Masri⁴</w:t>
      </w:r>
    </w:p>
    <w:p w14:paraId="1A3F6A79" w14:textId="77777777" w:rsidR="0046647F" w:rsidRPr="0004253F" w:rsidRDefault="0046647F" w:rsidP="0046647F">
      <w:pPr>
        <w:spacing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04253F">
        <w:rPr>
          <w:rFonts w:asciiTheme="majorBidi" w:eastAsia="Times New Roman" w:hAnsiTheme="majorBidi" w:cstheme="majorBidi"/>
          <w:sz w:val="24"/>
          <w:szCs w:val="24"/>
        </w:rPr>
        <w:t>¹ Director Value &amp; Access, Cepheid, Riyadh, Saudi Arabia</w:t>
      </w:r>
      <w:r w:rsidRPr="0004253F">
        <w:rPr>
          <w:rFonts w:asciiTheme="majorBidi" w:hAnsiTheme="majorBidi" w:cstheme="majorBidi"/>
          <w:sz w:val="24"/>
          <w:szCs w:val="24"/>
        </w:rPr>
        <w:br/>
      </w:r>
      <w:r w:rsidRPr="0004253F">
        <w:rPr>
          <w:rFonts w:asciiTheme="majorBidi" w:eastAsia="Times New Roman" w:hAnsiTheme="majorBidi" w:cstheme="majorBidi"/>
          <w:sz w:val="24"/>
          <w:szCs w:val="24"/>
        </w:rPr>
        <w:t xml:space="preserve"> ² Vaccines Activation Manager, Sanofi, Dubai, UAE</w:t>
      </w:r>
      <w:r w:rsidRPr="0004253F">
        <w:rPr>
          <w:rFonts w:asciiTheme="majorBidi" w:hAnsiTheme="majorBidi" w:cstheme="majorBidi"/>
          <w:sz w:val="24"/>
          <w:szCs w:val="24"/>
        </w:rPr>
        <w:br/>
      </w:r>
      <w:r w:rsidRPr="0004253F">
        <w:rPr>
          <w:rFonts w:asciiTheme="majorBidi" w:eastAsia="Times New Roman" w:hAnsiTheme="majorBidi" w:cstheme="majorBidi"/>
          <w:sz w:val="24"/>
          <w:szCs w:val="24"/>
        </w:rPr>
        <w:t xml:space="preserve"> ³ Beirut, Lebanon</w:t>
      </w:r>
      <w:r w:rsidRPr="0004253F">
        <w:rPr>
          <w:rFonts w:asciiTheme="majorBidi" w:hAnsiTheme="majorBidi" w:cstheme="majorBidi"/>
          <w:sz w:val="24"/>
          <w:szCs w:val="24"/>
        </w:rPr>
        <w:br/>
      </w:r>
      <w:r w:rsidRPr="0004253F">
        <w:rPr>
          <w:rFonts w:asciiTheme="majorBidi" w:eastAsia="Times New Roman" w:hAnsiTheme="majorBidi" w:cstheme="majorBidi"/>
          <w:sz w:val="24"/>
          <w:szCs w:val="24"/>
        </w:rPr>
        <w:t xml:space="preserve"> ⁴ Consultant, </w:t>
      </w:r>
      <w:proofErr w:type="spellStart"/>
      <w:r w:rsidRPr="0004253F">
        <w:rPr>
          <w:rFonts w:asciiTheme="majorBidi" w:eastAsia="Times New Roman" w:hAnsiTheme="majorBidi" w:cstheme="majorBidi"/>
          <w:sz w:val="24"/>
          <w:szCs w:val="24"/>
        </w:rPr>
        <w:t>Becoya</w:t>
      </w:r>
      <w:proofErr w:type="spellEnd"/>
      <w:r w:rsidRPr="0004253F">
        <w:rPr>
          <w:rFonts w:asciiTheme="majorBidi" w:eastAsia="Times New Roman" w:hAnsiTheme="majorBidi" w:cstheme="majorBidi"/>
          <w:sz w:val="24"/>
          <w:szCs w:val="24"/>
        </w:rPr>
        <w:t xml:space="preserve">, Dubai, UAE </w:t>
      </w:r>
    </w:p>
    <w:p w14:paraId="78147102" w14:textId="77777777" w:rsidR="00873AB9" w:rsidRPr="0004253F" w:rsidRDefault="00873AB9" w:rsidP="000331F3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C6009B8" w14:textId="77777777" w:rsidR="000331F3" w:rsidRPr="0004253F" w:rsidRDefault="000331F3" w:rsidP="000331F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4253F">
        <w:rPr>
          <w:rFonts w:asciiTheme="majorBidi" w:hAnsiTheme="majorBidi" w:cstheme="majorBidi"/>
          <w:b/>
          <w:bCs/>
          <w:sz w:val="24"/>
          <w:szCs w:val="24"/>
        </w:rPr>
        <w:t>Background</w:t>
      </w:r>
      <w:r w:rsidRPr="0004253F">
        <w:rPr>
          <w:rFonts w:asciiTheme="majorBidi" w:hAnsiTheme="majorBidi" w:cstheme="majorBidi"/>
          <w:b/>
          <w:bCs/>
          <w:sz w:val="24"/>
          <w:szCs w:val="24"/>
        </w:rPr>
        <w:br/>
      </w:r>
      <w:r w:rsidRPr="0004253F">
        <w:rPr>
          <w:rFonts w:asciiTheme="majorBidi" w:hAnsiTheme="majorBidi" w:cstheme="majorBidi"/>
          <w:sz w:val="24"/>
          <w:szCs w:val="24"/>
        </w:rPr>
        <w:t>Health Technology Assessment (HTA) supports value-based healthcare, resource allocation, and reimbursement decisions. While randomized controlled trials remain the foundation of evidence generation, real-world evidence (RWE) is increasingly used to complement clinical trial data by providing insights into long-term effectiveness, healthcare utilization, patient outcomes, and cost-effectiveness. Across the Middle East and North Africa (MENA), integration of RWE into HTA and reimbursement decision-making remains variable.</w:t>
      </w:r>
    </w:p>
    <w:p w14:paraId="5B61A1B9" w14:textId="77777777" w:rsidR="000331F3" w:rsidRPr="0004253F" w:rsidRDefault="000331F3" w:rsidP="000331F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4253F">
        <w:rPr>
          <w:rFonts w:asciiTheme="majorBidi" w:hAnsiTheme="majorBidi" w:cstheme="majorBidi"/>
          <w:b/>
          <w:bCs/>
          <w:sz w:val="24"/>
          <w:szCs w:val="24"/>
        </w:rPr>
        <w:t>Objectives</w:t>
      </w:r>
      <w:r w:rsidRPr="0004253F">
        <w:rPr>
          <w:rFonts w:asciiTheme="majorBidi" w:hAnsiTheme="majorBidi" w:cstheme="majorBidi"/>
          <w:b/>
          <w:bCs/>
          <w:sz w:val="24"/>
          <w:szCs w:val="24"/>
        </w:rPr>
        <w:br/>
      </w:r>
      <w:r w:rsidRPr="0004253F">
        <w:rPr>
          <w:rFonts w:asciiTheme="majorBidi" w:hAnsiTheme="majorBidi" w:cstheme="majorBidi"/>
          <w:sz w:val="24"/>
          <w:szCs w:val="24"/>
        </w:rPr>
        <w:t>To assess the current and potential role of RWE in supporting HTA and reimbursement decisions across selected MENA countries and identify key barriers and enablers to its adoption.</w:t>
      </w:r>
    </w:p>
    <w:p w14:paraId="4B8613CB" w14:textId="77777777" w:rsidR="000331F3" w:rsidRPr="0004253F" w:rsidRDefault="000331F3" w:rsidP="000331F3">
      <w:pPr>
        <w:rPr>
          <w:rFonts w:asciiTheme="majorBidi" w:hAnsiTheme="majorBidi" w:cstheme="majorBidi"/>
          <w:sz w:val="24"/>
          <w:szCs w:val="24"/>
        </w:rPr>
      </w:pPr>
      <w:r w:rsidRPr="0004253F">
        <w:rPr>
          <w:rFonts w:asciiTheme="majorBidi" w:hAnsiTheme="majorBidi" w:cstheme="majorBidi"/>
          <w:b/>
          <w:bCs/>
          <w:sz w:val="24"/>
          <w:szCs w:val="24"/>
        </w:rPr>
        <w:t>Methods</w:t>
      </w:r>
      <w:r w:rsidRPr="0004253F">
        <w:rPr>
          <w:rFonts w:asciiTheme="majorBidi" w:hAnsiTheme="majorBidi" w:cstheme="majorBidi"/>
          <w:b/>
          <w:bCs/>
          <w:sz w:val="24"/>
          <w:szCs w:val="24"/>
        </w:rPr>
        <w:br/>
      </w:r>
      <w:r w:rsidRPr="0004253F">
        <w:rPr>
          <w:rFonts w:asciiTheme="majorBidi" w:hAnsiTheme="majorBidi" w:cstheme="majorBidi"/>
          <w:sz w:val="24"/>
          <w:szCs w:val="24"/>
        </w:rPr>
        <w:t xml:space="preserve">A mixed-methods study combined a targeted literature review with qualitative stakeholder interviews. PubMed, Embase, and </w:t>
      </w:r>
      <w:proofErr w:type="spellStart"/>
      <w:r w:rsidRPr="0004253F">
        <w:rPr>
          <w:rFonts w:asciiTheme="majorBidi" w:hAnsiTheme="majorBidi" w:cstheme="majorBidi"/>
          <w:sz w:val="24"/>
          <w:szCs w:val="24"/>
        </w:rPr>
        <w:t>gray</w:t>
      </w:r>
      <w:proofErr w:type="spellEnd"/>
      <w:r w:rsidRPr="0004253F">
        <w:rPr>
          <w:rFonts w:asciiTheme="majorBidi" w:hAnsiTheme="majorBidi" w:cstheme="majorBidi"/>
          <w:sz w:val="24"/>
          <w:szCs w:val="24"/>
        </w:rPr>
        <w:t xml:space="preserve"> literature were reviewed for evidence related to RWE, HTA, and reimbursement in MENA. Semi-structured interviews were conducted with seven stakeholders, including HTA experts, payers, academics, policymakers, and industry representatives from Saudi Arabia, the United Arab Emirates (UAE), and Lebanon. Findings were </w:t>
      </w:r>
      <w:proofErr w:type="spellStart"/>
      <w:r w:rsidRPr="0004253F">
        <w:rPr>
          <w:rFonts w:asciiTheme="majorBidi" w:hAnsiTheme="majorBidi" w:cstheme="majorBidi"/>
          <w:sz w:val="24"/>
          <w:szCs w:val="24"/>
        </w:rPr>
        <w:t>analyzed</w:t>
      </w:r>
      <w:proofErr w:type="spellEnd"/>
      <w:r w:rsidRPr="0004253F">
        <w:rPr>
          <w:rFonts w:asciiTheme="majorBidi" w:hAnsiTheme="majorBidi" w:cstheme="majorBidi"/>
          <w:sz w:val="24"/>
          <w:szCs w:val="24"/>
        </w:rPr>
        <w:t xml:space="preserve"> thematically and triangulated with the literature.</w:t>
      </w:r>
    </w:p>
    <w:p w14:paraId="71B22790" w14:textId="77777777" w:rsidR="000331F3" w:rsidRPr="0004253F" w:rsidRDefault="000331F3" w:rsidP="000331F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4253F">
        <w:rPr>
          <w:rFonts w:asciiTheme="majorBidi" w:hAnsiTheme="majorBidi" w:cstheme="majorBidi"/>
          <w:b/>
          <w:bCs/>
          <w:sz w:val="24"/>
          <w:szCs w:val="24"/>
        </w:rPr>
        <w:t>Results</w:t>
      </w:r>
      <w:r w:rsidRPr="0004253F">
        <w:rPr>
          <w:rFonts w:asciiTheme="majorBidi" w:hAnsiTheme="majorBidi" w:cstheme="majorBidi"/>
          <w:b/>
          <w:bCs/>
          <w:sz w:val="24"/>
          <w:szCs w:val="24"/>
        </w:rPr>
        <w:br/>
      </w:r>
      <w:r w:rsidRPr="0004253F">
        <w:rPr>
          <w:rFonts w:asciiTheme="majorBidi" w:hAnsiTheme="majorBidi" w:cstheme="majorBidi"/>
          <w:sz w:val="24"/>
          <w:szCs w:val="24"/>
        </w:rPr>
        <w:t>HTA maturity varied across countries. The UAE showed the greatest progress in integrating RWE into reimbursement frameworks, while Saudi Arabia demonstrated increasing interest in RWE for high-cost therapies and outcomes-based agreements. Lebanon reported limited use of RWE due to institutional and data infrastructure constraints. Stakeholders highlighted RWE’s potential to reduce uncertainty, inform cost-effectiveness assessments, and support reimbursement decisions. Key barriers included fragmented data systems, limited interoperability, variable data quality, and shortages of HTA and health economics expertise.</w:t>
      </w:r>
    </w:p>
    <w:p w14:paraId="5AA4B0D4" w14:textId="77777777" w:rsidR="000331F3" w:rsidRPr="0004253F" w:rsidRDefault="000331F3" w:rsidP="000331F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4253F">
        <w:rPr>
          <w:rFonts w:asciiTheme="majorBidi" w:hAnsiTheme="majorBidi" w:cstheme="majorBidi"/>
          <w:b/>
          <w:bCs/>
          <w:sz w:val="24"/>
          <w:szCs w:val="24"/>
        </w:rPr>
        <w:t>Conclusions</w:t>
      </w:r>
      <w:r w:rsidRPr="0004253F">
        <w:rPr>
          <w:rFonts w:asciiTheme="majorBidi" w:hAnsiTheme="majorBidi" w:cstheme="majorBidi"/>
          <w:b/>
          <w:bCs/>
          <w:sz w:val="24"/>
          <w:szCs w:val="24"/>
        </w:rPr>
        <w:br/>
      </w:r>
      <w:r w:rsidRPr="0004253F">
        <w:rPr>
          <w:rFonts w:asciiTheme="majorBidi" w:hAnsiTheme="majorBidi" w:cstheme="majorBidi"/>
          <w:sz w:val="24"/>
          <w:szCs w:val="24"/>
        </w:rPr>
        <w:t>RWE is increasingly recognized as a valuable component of evidence-informed HTA and reimbursement decision-making in MENA. Investments in data infrastructure, governance, methodological standards, and HTA capacity building are needed to generate high-quality local evidence and support value-based healthcare and sustainable reimbursement policies.</w:t>
      </w:r>
    </w:p>
    <w:p w14:paraId="1412C9A4" w14:textId="77777777" w:rsidR="00DA2121" w:rsidRDefault="00DA2121"/>
    <w:sectPr w:rsidR="00DA21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1F3"/>
    <w:rsid w:val="000331F3"/>
    <w:rsid w:val="0004253F"/>
    <w:rsid w:val="001265D3"/>
    <w:rsid w:val="00383F48"/>
    <w:rsid w:val="0046647F"/>
    <w:rsid w:val="006D6AEB"/>
    <w:rsid w:val="00873AB9"/>
    <w:rsid w:val="00B15EAA"/>
    <w:rsid w:val="00C13F06"/>
    <w:rsid w:val="00C356D6"/>
    <w:rsid w:val="00DA2121"/>
    <w:rsid w:val="00F9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5D55"/>
  <w15:chartTrackingRefBased/>
  <w15:docId w15:val="{BD440920-C7A0-425C-84F1-A65514BA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3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3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3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3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3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3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3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3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3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3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3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3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3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3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3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31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3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31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3094ff5-79ca-456b-95f6-d578316a3809}" enabled="1" method="Privileged" siteId="{771c9c47-7f24-44dc-958e-34f8713a83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324</Words>
  <Characters>2266</Characters>
  <Application>Microsoft Office Word</Application>
  <DocSecurity>0</DocSecurity>
  <Lines>37</Lines>
  <Paragraphs>7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Giedrojc-Amir, Martyna</dc:creator>
  <cp:keywords/>
  <dc:description/>
  <cp:lastModifiedBy>Giedrojc-Amir, Martyna</cp:lastModifiedBy>
  <cp:revision>6</cp:revision>
  <dcterms:created xsi:type="dcterms:W3CDTF">2026-08-30T08:46:00Z</dcterms:created>
  <dcterms:modified xsi:type="dcterms:W3CDTF">2026-09-17T07:01:00Z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82f5706a-0685-4b0d-b8ae-5412772ff77d</vt:lpwstr>
  </property>
</Properties>
</file>